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"http:///bien-7203.html"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Immeuble de 5 unités entre Louise et les étangs d'Ixelles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Bruxelles/Ixelles (réf 2387B)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Situé dans une rue prisée entre l'Avenue Louise et les Étangs d'Ixelles, cet immeuble représente une opportunité exceptionnelle d'investissement immobilier. Il comprend 5 appartements 1 chambre reconnus urbanistiquement (dont 1 avec terrasse de 22m² et un autre avec une cour de 10m²). L'emplacement de cet immeuble est l'un de ses principaux atouts et à proximité de nombreux commerces, restaurants, parcs et transports en commun, ce qui garantit une demande locative élevée et une valeur potentielle à la revente. Compteurs individuels pour chaque appartement. Contactez-nous pour plus d'information et de détails au 02/660.21.21 ou 0479/43.33.95.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 ou 0479/43.33.95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Email : dylan@century21boondale.be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1.295.000 €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Vilain XIIII, 25 à 1000 Brussel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Immeuble de rapport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d'appartemets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5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d'appartement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1 chambre et duplex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5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Non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Oui (22m² au duplex du dernier étage)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Cour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Oui (10m² à l'appartement en demi sous-sol)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Chaudière Individuel GAZ pour chaque appartement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+- 1918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3.098 €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(demi sous-sol libre d'occupation)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3.345,00 €/mois, soit 40.140,00 €/an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compteurs individuels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350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terrasse/cour : 34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Détail"/>
        <w:numPr>
          <w:ilvl w:val="0"/>
          <w:numId w:val="3"/>
        </w:numPr>
      </w:pPr>
      <w:r>
        <w:t xml:space="preserve">PEB pour chaque appartement disponible</w:t>
      </w:r>
    </w:p>
    <w:p>
      <w:pPr>
        <w:pStyle w:val="Détail"/>
        <w:numPr>
          <w:ilvl w:val="0"/>
          <w:numId w:val="3"/>
        </w:numPr>
      </w:pPr>
      <w:r>
        <w:t xml:space="preserve">RU disponible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Bel-étage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2ème étage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demi sous-sol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sectPr>
      <w:headerReference w:type="default" r:id="rId00029"/>
      <w:footerReference w:type="default" r:id="rId0003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</w:t>
          </w: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9" Type="http://schemas.openxmlformats.org/officeDocument/2006/relationships/header" Target="header0001.xml"/>
	<Relationship Id="rId0003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31" Type="http://schemas.openxmlformats.org/officeDocument/2006/relationships/numbering" Target="numbering.xml"/>
	<Relationship Id="rId00032" Type="http://schemas.openxmlformats.org/officeDocument/2006/relationships/fontTable" Target="fontTable.xml"/>
	<Relationship Id="rId0003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