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[Normal]"/>
        <w:jc w:val="center"/>
        <w:rPr>
          <w:rFonts w:ascii="Century Gothic" w:hAnsi="Century Gothic" w:eastAsia="Century Gothic"/>
          <w:b w:val="on"/>
          <w:color w:val="000000"/>
          <w:sz w:val="32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</w:pP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begin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instrText xml:space="preserve"> HYPERLINK "http:///bien-7451.html" </w:instrText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separate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t xml:space="preserve">Quartier ULB - Roosevelt - Cambre</w:t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0"/>
        </w:rPr>
        <w:fldChar w:fldCharType="end"/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drawing>
          <wp:inline distT="0" distB="0" distL="0" distR="0">
            <wp:extent cx="3048000" cy="2286000"/>
            <wp:docPr id="2" name="_tx_id_2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/>
                  </pic:nvPicPr>
                  <pic:blipFill>
                    <a:blip r:embed="rId0000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Ixelles (réf 2485 B) : !!!TRES BON INVESTISSEMENT!!! Proche du Bois de La Cambre &amp; de l'avenue F. Roosevelt - Très bel appartement (64 m²) de 1 chambre sis au 3ème et dernier étage d'une petite copropriété bien entretenue sans ascenseur! Hall d'entrée, beau salon/salle à manger en plancher, hall, cuisine équipée et meublée donnant accès à la terrasse avec vue verdoyante sans vis-à-vis, salle de bains (bain &amp; lavabo), wc séparé, 2 caves, double vitrage partout, PEB = G. Chaudière individuelle gaz. Peu de charges communes mensuelles +/- 70€ (commun, syndic, assurance bâtiment). Libre à l'acte. 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6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Infos &amp; Visites Century 21 Boondael 02/660.21.21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OU www.century21boondael.be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  <w:sz w:val="26"/>
          <w:u w:val="double"/>
        </w:rPr>
        <w:t xml:space="preserve">Prix : 279.000 €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  <w:u w:val="single"/>
        </w:rPr>
        <w:t xml:space="preserve">Rue François Dons, 47 à 1050 Ixelles</w:t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Informations générales :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Affectation du bien : appartement/logement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chambre : 1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salle de bains : 1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Garage : possibilité de louer un box en face de l'immeuble (sous réserve de l'accord du propriétaire de pgarage)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Terrasse : Oui par la cuisine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Exposition :  avant S-E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cuisine : Equipée et aménagée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chauffage : Chaudière Individuel GAZ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Année de construction : +/- 1930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Revenu cadastral : 1.044 €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Revenu locatif mensuel : LIBRE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Charges mensuelles : +/- 70 € (commun, syndic, assurance)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61"/>
        </w:rPr>
        <w:t xml:space="preserve">Surfaces :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habitable : 64 m²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terrasse : 3 m²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Photos :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2438400" cy="1828800"/>
            <wp:docPr id="3" name="_tx_id_3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/>
                  </pic:nvPicPr>
                  <pic:blipFill>
                    <a:blip r:embed="rId00007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</w:t>
      </w:r>
      <w:r>
        <w:drawing>
          <wp:inline distT="0" distB="0" distL="0" distR="0">
            <wp:extent cx="2438400" cy="1828800"/>
            <wp:docPr id="4" name="_tx_id_4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/>
                  </pic:nvPicPr>
                  <pic:blipFill>
                    <a:blip r:embed="rId00008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2438400" cy="1828800"/>
            <wp:docPr id="5" name="_tx_id_5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/>
                  </pic:nvPicPr>
                  <pic:blipFill>
                    <a:blip r:embed="rId00009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</w:t>
      </w:r>
      <w:r>
        <w:drawing>
          <wp:inline distT="0" distB="0" distL="0" distR="0">
            <wp:extent cx="2438400" cy="1828800"/>
            <wp:docPr id="6" name="_tx_id_6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/>
                  </pic:nvPicPr>
                  <pic:blipFill>
                    <a:blip r:embed="rId00010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2438400" cy="1828800"/>
            <wp:docPr id="7" name="_tx_id_7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/>
                  </pic:nvPicPr>
                  <pic:blipFill>
                    <a:blip r:embed="rId00011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</w:t>
      </w:r>
      <w:r>
        <w:drawing>
          <wp:inline distT="0" distB="0" distL="0" distR="0">
            <wp:extent cx="2438400" cy="1828800"/>
            <wp:docPr id="8" name="_tx_id_8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/>
                  </pic:nvPicPr>
                  <pic:blipFill>
                    <a:blip r:embed="rId00012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1828800" cy="2438400"/>
            <wp:docPr id="9" name="_tx_id_9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/>
                  </pic:nvPicPr>
                  <pic:blipFill>
                    <a:blip r:embed="rId00013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</w:t>
      </w:r>
      <w:r>
        <w:drawing>
          <wp:inline distT="0" distB="0" distL="0" distR="0">
            <wp:extent cx="2438400" cy="1828800"/>
            <wp:docPr id="10" name="_tx_id_10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/>
                    <pic:cNvPicPr/>
                  </pic:nvPicPr>
                  <pic:blipFill>
                    <a:blip r:embed="rId00014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1828800" cy="2438400"/>
            <wp:docPr id="11" name="_tx_id_11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"/>
                    <pic:cNvPicPr/>
                  </pic:nvPicPr>
                  <pic:blipFill>
                    <a:blip r:embed="rId00015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</w:t>
      </w:r>
      <w:r>
        <w:drawing>
          <wp:inline distT="0" distB="0" distL="0" distR="0">
            <wp:extent cx="1828800" cy="2438400"/>
            <wp:docPr id="12" name="_tx_id_12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2"/>
                    <pic:cNvPicPr/>
                  </pic:nvPicPr>
                  <pic:blipFill>
                    <a:blip r:embed="rId00016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</w:t>
      </w:r>
      <w:r>
        <w:drawing>
          <wp:inline distT="0" distB="0" distL="0" distR="0">
            <wp:extent cx="1828800" cy="2438400"/>
            <wp:docPr id="13" name="_tx_id_13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3"/>
                    <pic:cNvPicPr/>
                  </pic:nvPicPr>
                  <pic:blipFill>
                    <a:blip r:embed="rId00017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2438400" cy="1828800"/>
            <wp:docPr id="14" name="_tx_id_14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4"/>
                    <pic:cNvPicPr/>
                  </pic:nvPicPr>
                  <pic:blipFill>
                    <a:blip r:embed="rId00018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sectPr>
      <w:headerReference w:type="default" r:id="rId00019"/>
      <w:footerReference w:type="default" r:id="rId00020"/>
      <w:pgSz w:w="11906" w:h="16837"/>
      <w:pgMar w:top="1134" w:right="1134" w:bottom="1134" w:left="1134" w:header="567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Trebuchet MS">
    <w:charset w:val="00"/>
    <w:family w:val="swiss"/>
    <w:pitch w:val="variable"/>
  </w:font>
  <w:font w:name="Bahnschrift SemiBold">
    <w:charset w:val="00"/>
    <w:family w:val="swiss"/>
    <w:pitch w:val="variable"/>
  </w:font>
  <w:font w:name="Bahnschrift SemiLight">
    <w:charset w:val="00"/>
    <w:family w:val="swiss"/>
    <w:pitch w:val="variable"/>
  </w:font>
  <w:font w:name="Century Gothic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0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0" w:type="dxa"/>
        <w:bottom w:w="0" w:type="dxa"/>
        <w:right w:w="30" w:type="dxa"/>
      </w:tblCellMar>
    </w:tblPr>
    <w:tblGrid>
      <w:gridCol w:w="9638"/>
    </w:tblGrid>
    <w:tr>
      <w:tc>
        <w:tcPr>
          <w:tcW w:w="9638" w:type="dxa"/>
          <w:shd w:val="clear" w:fill="FFFFFF"/>
          <w:vAlign w:val="top"/>
        </w:tcPr>
        <w:p>
          <w:pPr>
            <w:pStyle w:val="[Normal]"/>
            <w:jc w:val="center"/>
            <w:rPr>
              <w:rFonts w:ascii="Bahnschrift SemiLight" w:hAnsi="Bahnschrift SemiLight" w:eastAsia="Bahnschrift SemiLight"/>
              <w:sz w:val="2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Century 21 Boondael  Tél : 02 660 21 21 Site web : http:// www.century21.be</w:t>
          </w:r>
        </w:p>
        <w:p>
          <w:pPr>
            <w:pStyle w:val="[Normal]"/>
            <w:jc w:val="center"/>
            <w:rPr>
              <w:rFonts w:ascii="Bahnschrift SemiLight" w:hAnsi="Bahnschrift SemiLight" w:eastAsia="Bahnschrift SemiLight"/>
              <w:sz w:val="20"/>
              <w:shd w:val="clear" w:fill="00000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Email : </w:t>
          </w:r>
          <w:r>
            <w:rPr>
              <w:rFonts w:ascii="Bahnschrift SemiLight" w:hAnsi="Bahnschrift SemiLight" w:eastAsia="Bahnschrift SemiLight"/>
              <w:sz w:val="20"/>
            </w:rPr>
            <w:t xml:space="preserve">info@century21boondael.be</w:t>
          </w:r>
        </w:p>
      </w:tc>
    </w:tr>
  </w:tbl>
  <w:p>
    <w:pPr>
      <w:pStyle w:val="[Normal]"/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Chaque agence est juridiquement et financièrement indépendante.</w:t>
    </w:r>
  </w:p>
  <w:p>
    <w:pPr>
      <w:pStyle w:val="[Normal]"/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Ce document est remis à titre informatif et non contractuel.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6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6" w:type="dxa"/>
        <w:bottom w:w="0" w:type="dxa"/>
        <w:right w:w="36" w:type="dxa"/>
      </w:tblCellMar>
    </w:tblPr>
    <w:tblGrid>
      <w:gridCol w:w="4801"/>
      <w:gridCol w:w="4801"/>
    </w:tblGrid>
    <w:tr>
      <w:tc>
        <w:tcPr>
          <w:tcW w:w="4801" w:type="dxa"/>
          <w:shd w:val="clear" w:fill="auto"/>
          <w:vAlign w:val="top"/>
        </w:tcPr>
        <w:p>
          <w:pPr>
            <w:pStyle w:val="[Normal]"/>
            <w:rPr>
              <w:rFonts w:ascii="Trebuchet MS" w:hAnsi="Trebuchet MS" w:eastAsia="Trebuchet MS"/>
              <w:sz w:val="20"/>
            </w:rPr>
          </w:pPr>
          <w:r>
            <w:drawing>
              <wp:anchor distT="0" distB="0" distL="0" distR="0" simplePos="0" relativeHeight="1000000" behindDoc="0" locked="0" layoutInCell="1" allowOverlap="1" hidden="false">
                <wp:simplePos x="0" y="0"/>
                <wp:positionH relativeFrom="column">
                  <wp:align>left</wp:align>
                </wp:positionH>
                <wp:positionV relativeFrom="paragraph">
                  <wp:posOffset>0</wp:posOffset>
                </wp:positionV>
                <wp:extent cx="1866900" cy="1314450"/>
                <wp:wrapSquare wrapText="bothSides"/>
                <wp:docPr id="1" name="_tx_id_1_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/>
                      </pic:nvPicPr>
                      <pic:blipFill>
                        <a:blip r:embed="rId0000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6900" cy="1314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01" w:type="dxa"/>
          <w:shd w:val="clear" w:fill="auto"/>
          <w:vAlign w:val="top"/>
        </w:tcPr>
        <w:p>
          <w:pPr>
            <w:pStyle w:val="[Normal]"/>
            <w:jc w:val="right"/>
            <w:rPr>
              <w:rFonts w:ascii="Trebuchet MS" w:hAnsi="Trebuchet MS" w:eastAsia="Trebuchet MS"/>
              <w:sz w:val="20"/>
            </w:rPr>
          </w:pPr>
          <w:r>
            <w:rPr>
              <w:rFonts w:ascii="Trebuchet MS" w:hAnsi="Trebuchet MS" w:eastAsia="Trebuchet MS"/>
              <w:sz w:val="20"/>
            </w:rPr>
            <w:t xml:space="preserve">  </w:t>
          </w:r>
        </w:p>
      </w:tc>
    </w:tr>
  </w:tbl>
  <w:p>
    <w:pPr>
      <w:pStyle w:val="[Normal]"/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Avenue des Saisons, 42 à 1050 Ixelles                                                                                                </w:t>
    </w:r>
  </w:p>
  <w:p>
    <w:pPr>
      <w:pStyle w:val="[Normal]"/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02/660.21.21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1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000000"/>
        <w:position w:val="0"/>
        <w:sz w:val="20"/>
        <w:u w:val="none"/>
        <w:shd w:val="clear" w:fil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Titre1">
    <w:name w:val="Titre1"/>
    <w:basedOn w:val="[Normal]"/>
    <w:next w:val="Titre1"/>
    <w:qFormat/>
    <w:pPr/>
    <w:rPr>
      <w:b w:val="on"/>
      <w:sz w:val="28"/>
    </w:rPr>
  </w:style>
  <w:style w:type="paragraph" w:styleId="Détail">
    <w:name w:val="Détail"/>
    <w:basedOn w:val="[Normal]"/>
    <w:next w:val="Détail"/>
    <w:qFormat/>
    <w:pPr>
      <w:numPr>
        <w:ilvl w:val="0"/>
        <w:numId w:val="1"/>
      </w:numPr>
      <w:ind w:left="360" w:hanging="360"/>
    </w:pPr>
    <w:rPr>
      <w:sz w:val="20"/>
    </w:rPr>
  </w:style>
  <w:style w:type="paragraph" w:styleId="Type de détail">
    <w:name w:val="Type de détail"/>
    <w:basedOn w:val="Détail"/>
    <w:next w:val="Type de détail"/>
    <w:qFormat/>
    <w:pPr>
      <w:numPr>
        <w:ilvl w:val="0"/>
        <w:numId w:val="0"/>
      </w:numPr>
    </w:pPr>
    <w:rPr>
      <w:b w:val="on"/>
    </w:rPr>
  </w:style>
  <w:style w:type="paragraph" w:styleId="TEST">
    <w:name w:val="TEST"/>
    <w:basedOn w:val="[Normal]"/>
    <w:next w:val="TEST"/>
    <w:qFormat/>
    <w:pPr/>
    <w:rPr>
      <w:sz w:val="168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19" Type="http://schemas.openxmlformats.org/officeDocument/2006/relationships/header" Target="header0001.xml"/>
	<Relationship Id="rId00020" Type="http://schemas.openxmlformats.org/officeDocument/2006/relationships/footer" Target="footer0001.xml"/>
	<Relationship Id="rId00006" Type="http://schemas.openxmlformats.org/officeDocument/2006/relationships/image" Target="media/image0002.jpg"/>
	<Relationship Id="rId00007" Type="http://schemas.openxmlformats.org/officeDocument/2006/relationships/image" Target="media/image0003.jpg"/>
	<Relationship Id="rId00008" Type="http://schemas.openxmlformats.org/officeDocument/2006/relationships/image" Target="media/image0004.jpg"/>
	<Relationship Id="rId00009" Type="http://schemas.openxmlformats.org/officeDocument/2006/relationships/image" Target="media/image0005.jpg"/>
	<Relationship Id="rId00010" Type="http://schemas.openxmlformats.org/officeDocument/2006/relationships/image" Target="media/image0006.jpg"/>
	<Relationship Id="rId00011" Type="http://schemas.openxmlformats.org/officeDocument/2006/relationships/image" Target="media/image0007.jpg"/>
	<Relationship Id="rId00012" Type="http://schemas.openxmlformats.org/officeDocument/2006/relationships/image" Target="media/image0008.jpg"/>
	<Relationship Id="rId00013" Type="http://schemas.openxmlformats.org/officeDocument/2006/relationships/image" Target="media/image0009.jpg"/>
	<Relationship Id="rId00014" Type="http://schemas.openxmlformats.org/officeDocument/2006/relationships/image" Target="media/image0010.jpg"/>
	<Relationship Id="rId00015" Type="http://schemas.openxmlformats.org/officeDocument/2006/relationships/image" Target="media/image0011.jpg"/>
	<Relationship Id="rId00016" Type="http://schemas.openxmlformats.org/officeDocument/2006/relationships/image" Target="media/image0012.jpg"/>
	<Relationship Id="rId00017" Type="http://schemas.openxmlformats.org/officeDocument/2006/relationships/image" Target="media/image0013.jpg"/>
	<Relationship Id="rId00018" Type="http://schemas.openxmlformats.org/officeDocument/2006/relationships/image" Target="media/image0014.jpg"/>
	<Relationship Id="rId00021" Type="http://schemas.openxmlformats.org/officeDocument/2006/relationships/numbering" Target="numbering.xml"/>
	<Relationship Id="rId00022" Type="http://schemas.openxmlformats.org/officeDocument/2006/relationships/fontTable" Target="fontTable.xml"/>
	<Relationship Id="rId00023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