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widowControl w:val="on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"bien-7532.html"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Ixelles : réf 2528 B -  Magnifique STUDIO offrant vue sur verdure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2857500" cy="381000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Ixelles (réf 2528 B) idéalement situé entre l'Avenue Louise et la rue du Prince Royale . Dans un immeuble rénové récemment, le studio se situe au 2eme étage comprenant: un hall d'entrée, cuisine, coin à dormir, salle de douche, WC. PEB F. Elec non conforme. Plan du studio disponible. Idéale pour un investissement ( loué 650/mois et en airbnb entre 110€-190€/jour). Libre à l'acte. Infos &amp; Visites Century 21 Boondael 02/660.21.21 ou 0491.19.73.57 OU www.century21boondael.be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Prix : 150.000 € + 250 € de charges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Rue Stassart, 47  à 1050 Ixelles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0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1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Aménagée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Gaz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Surfaces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30 m²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  <w:tabs>
          <w:tab w:val="left" w:pos="360"/>
          <w:tab w:val="clear" w:pos="15876"/>
        </w:tabs>
      </w:pPr>
      <w:r>
        <w:t xml:space="preserve">2ème étage:</w:t>
      </w:r>
    </w:p>
    <w:p>
      <w:pPr>
        <w:pStyle w:val="Détail"/>
        <w:numPr>
          <w:ilvl w:val="0"/>
          <w:numId w:val="3"/>
        </w:numPr>
      </w:pPr>
      <w:r>
        <w:t xml:space="preserve">Chambre</w:t>
      </w:r>
    </w:p>
    <w:p>
      <w:pPr>
        <w:pStyle w:val="Détail"/>
        <w:numPr>
          <w:ilvl w:val="0"/>
          <w:numId w:val="3"/>
        </w:numPr>
      </w:pPr>
      <w:r>
        <w:t xml:space="preserve">Cuisine</w:t>
      </w:r>
    </w:p>
    <w:p>
      <w:pPr>
        <w:pStyle w:val="Détail"/>
        <w:numPr>
          <w:ilvl w:val="0"/>
          <w:numId w:val="3"/>
        </w:numPr>
      </w:pPr>
      <w:r>
        <w:t xml:space="preserve">Salle de bains</w:t>
      </w:r>
    </w:p>
    <w:p>
      <w:pPr>
        <w:pStyle w:val="Type de détail"/>
        <w:tabs>
          <w:tab w:val="left" w:pos="360"/>
          <w:tab w:val="clear" w:pos="15876"/>
        </w:tabs>
      </w:pPr>
      <w:r>
        <w:t xml:space="preserve">2ème étage (suite):</w:t>
      </w:r>
    </w:p>
    <w:p>
      <w:pPr>
        <w:pStyle w:val="Détail"/>
        <w:numPr>
          <w:ilvl w:val="0"/>
          <w:numId w:val="3"/>
        </w:numPr>
      </w:pPr>
      <w:r>
        <w:t xml:space="preserve">WC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286000" cy="3048000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</w:t>
      </w:r>
      <w:r>
        <w:drawing>
          <wp:inline distT="0" distB="0" distL="0" distR="0">
            <wp:extent cx="3048000" cy="2286000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3048000" cy="2286000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048000" cy="2286000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3048000" cy="2286000"/>
            <wp:docPr id="7" name="_tx_id_7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00011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048000" cy="2286000"/>
            <wp:docPr id="8" name="_tx_id_8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00012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286000" cy="3048000"/>
            <wp:docPr id="9" name="_tx_id_9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/>
                  </pic:nvPicPr>
                  <pic:blipFill>
                    <a:blip r:embed="rId000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286000" cy="3048000"/>
            <wp:docPr id="10" name="_tx_id_10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/>
                  </pic:nvPicPr>
                  <pic:blipFill>
                    <a:blip r:embed="rId0001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sectPr>
      <w:headerReference w:type="default" r:id="rId00015"/>
      <w:footerReference w:type="default" r:id="rId00016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widowControl w:val="on"/>
            <w:tabs>
              <w:tab w:val="left" w:pos="9637"/>
              <w:tab w:val="left" w:pos="9637"/>
              <w:tab w:val="left" w:pos="17010"/>
              <w:tab w:val="clear" w:pos="10206"/>
              <w:tab w:val="clear" w:pos="11340"/>
              <w:tab w:val="clear" w:pos="12474"/>
            </w:tabs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02 660 21 21 Site web : http:// www.century21.be</w:t>
          </w:r>
        </w:p>
        <w:p>
          <w:pPr>
            <w:pStyle w:val="[Normal]"/>
            <w:widowControl w:val="on"/>
            <w:tabs>
              <w:tab w:val="left" w:pos="9637"/>
              <w:tab w:val="left" w:pos="9637"/>
              <w:tab w:val="left" w:pos="17010"/>
              <w:tab w:val="clear" w:pos="10206"/>
              <w:tab w:val="clear" w:pos="11340"/>
              <w:tab w:val="clear" w:pos="12474"/>
            </w:tabs>
            <w:jc w:val="center"/>
            <w:rPr>
              <w:rFonts w:ascii="Bahnschrift SemiLight" w:hAnsi="Bahnschrift SemiLight" w:eastAsia="Bahnschrift SemiLight"/>
              <w:color w:val="FFFFFF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info@century21boondael.be</w:t>
          </w:r>
        </w:p>
      </w:tc>
    </w:tr>
  </w:tbl>
  <w:p>
    <w:pPr>
      <w:pStyle w:val="[Normal]"/>
      <w:widowControl w:val="on"/>
      <w:tabs>
        <w:tab w:val="left" w:pos="9637"/>
        <w:tab w:val="left" w:pos="9637"/>
        <w:tab w:val="left" w:pos="17010"/>
        <w:tab w:val="clear" w:pos="10206"/>
        <w:tab w:val="clear" w:pos="11340"/>
        <w:tab w:val="clear" w:pos="12474"/>
      </w:tabs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widowControl w:val="on"/>
      <w:tabs>
        <w:tab w:val="left" w:pos="9637"/>
        <w:tab w:val="left" w:pos="9637"/>
        <w:tab w:val="left" w:pos="17010"/>
        <w:tab w:val="clear" w:pos="10206"/>
        <w:tab w:val="clear" w:pos="11340"/>
        <w:tab w:val="clear" w:pos="12474"/>
      </w:tabs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widowControl w:val="on"/>
            <w:tabs>
              <w:tab w:val="left" w:pos="9637"/>
              <w:tab w:val="left" w:pos="9637"/>
              <w:tab w:val="left" w:pos="17010"/>
              <w:tab w:val="clear" w:pos="10206"/>
              <w:tab w:val="clear" w:pos="11340"/>
              <w:tab w:val="clear" w:pos="12474"/>
            </w:tabs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widowControl w:val="on"/>
            <w:tabs>
              <w:tab w:val="left" w:pos="9637"/>
              <w:tab w:val="left" w:pos="9637"/>
              <w:tab w:val="left" w:pos="17010"/>
              <w:tab w:val="clear" w:pos="10206"/>
              <w:tab w:val="clear" w:pos="11340"/>
              <w:tab w:val="clear" w:pos="12474"/>
            </w:tabs>
            <w:jc w:val="right"/>
            <w:rPr>
              <w:rFonts w:ascii="Trebuchet MS" w:hAnsi="Trebuchet MS" w:eastAsia="Trebuchet MS"/>
              <w:sz w:val="20"/>
            </w:rPr>
          </w:pPr>
        </w:p>
      </w:tc>
    </w:tr>
  </w:tbl>
  <w:p>
    <w:pPr>
      <w:pStyle w:val="[Normal]"/>
      <w:widowControl w:val="on"/>
      <w:tabs>
        <w:tab w:val="left" w:pos="9637"/>
        <w:tab w:val="left" w:pos="9637"/>
        <w:tab w:val="left" w:pos="17010"/>
        <w:tab w:val="clear" w:pos="10206"/>
        <w:tab w:val="clear" w:pos="11340"/>
        <w:tab w:val="clear" w:pos="12474"/>
      </w:tabs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 </w:t>
    </w:r>
  </w:p>
  <w:p>
    <w:pPr>
      <w:pStyle w:val="[Normal]"/>
      <w:widowControl w:val="on"/>
      <w:tabs>
        <w:tab w:val="left" w:pos="9637"/>
        <w:tab w:val="left" w:pos="9637"/>
        <w:tab w:val="left" w:pos="17010"/>
        <w:tab w:val="clear" w:pos="10206"/>
        <w:tab w:val="clear" w:pos="11340"/>
        <w:tab w:val="clear" w:pos="12474"/>
      </w:tabs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Détail">
    <w:name w:val="Détail"/>
    <w:basedOn w:val="[Normal]"/>
    <w:next w:val="Détail"/>
    <w:qFormat/>
    <w:pPr>
      <w:widowControl w:val="on"/>
      <w:numPr>
        <w:ilvl w:val="0"/>
        <w:numId w:val="1"/>
      </w:numPr>
      <w:tabs>
        <w:tab w:val="left" w:pos="360"/>
        <w:tab w:val="clear" w:pos="15876"/>
      </w:tabs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  <w:tabs>
        <w:tab w:val="left" w:pos="15876"/>
        <w:tab w:val="clear" w:pos="360"/>
      </w:tabs>
    </w:pPr>
    <w:rPr>
      <w:b w:val="on"/>
    </w:rPr>
  </w:style>
  <w:style w:type="paragraph" w:styleId="Titre1">
    <w:name w:val="Titre1"/>
    <w:basedOn w:val="[Normal]"/>
    <w:next w:val="Titre1"/>
    <w:qFormat/>
    <w:pPr>
      <w:widowControl w:val="on"/>
    </w:pPr>
    <w:rPr>
      <w:b w:val="on"/>
      <w:sz w:val="28"/>
    </w:rPr>
  </w:style>
  <w:style w:type="paragraph" w:styleId="TEST">
    <w:name w:val="TEST"/>
    <w:basedOn w:val="[Normal]"/>
    <w:next w:val="TEST"/>
    <w:qFormat/>
    <w:pPr>
      <w:widowControl w:val="on"/>
    </w:pPr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5" Type="http://schemas.openxmlformats.org/officeDocument/2006/relationships/header" Target="header0001.xml"/>
	<Relationship Id="rId00016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1" Type="http://schemas.openxmlformats.org/officeDocument/2006/relationships/image" Target="media/image0007.jpg"/>
	<Relationship Id="rId00012" Type="http://schemas.openxmlformats.org/officeDocument/2006/relationships/image" Target="media/image0008.jpg"/>
	<Relationship Id="rId00013" Type="http://schemas.openxmlformats.org/officeDocument/2006/relationships/image" Target="media/image0009.jpg"/>
	<Relationship Id="rId00014" Type="http://schemas.openxmlformats.org/officeDocument/2006/relationships/image" Target="media/image0010.jpg"/>
	<Relationship Id="rId00017" Type="http://schemas.openxmlformats.org/officeDocument/2006/relationships/numbering" Target="numbering.xml"/>
	<Relationship Id="rId00018" Type="http://schemas.openxmlformats.org/officeDocument/2006/relationships/fontTable" Target="fontTable.xml"/>
	<Relationship Id="rId00019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  <HyperlinkBase>C:\Users\info\CENTURY 21 Boondael\Century 21 Boondael - Documents\Activimmo\</HyperlinkBas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