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SRL Logis-Gest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Rue Colonel Bourg 127 bte 16 à 1140 Evere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support@logis-gest.be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+3223.44.54.11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01/12/25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Nobert Gille, 24 1070 Anderlecht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Anderlecht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Nobert Gille, 24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Xao  Quach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</w:t>
    </w:r>
    <w:r>
      <w:rPr>
        <w:rFonts w:ascii="Century Gothic" w:hAnsi="Century Gothic" w:eastAsia="Century Gothic"/>
        <w:sz w:val="16"/>
      </w:rPr>
      <w:t xml:space="preserve">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