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E2927-015-2026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26 mars 2026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Béatrice Dekandelaer ,</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maison à rénover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Général Thys, 15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4 mars 2026.</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35</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375.000 €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rPr>
        <w:t xml:space="preserve">375.000,00 euros.</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Béatrice Dekandelaer ,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posOffset>19050</wp:posOffset>
            </wp:positionH>
            <wp:positionV relativeFrom="paragraph">
              <wp:posOffset>162560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