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
<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ackground w:color="FFFFFF"/>
  <w:body>
    <w:p>
      <w:pPr>
        <w:pStyle w:val="[Normal]"/>
        <w:rPr>
          <w:rFonts w:ascii="Trebuchet MS" w:hAnsi="Trebuchet MS" w:eastAsia="Trebuchet MS"/>
          <w:sz w:val="4"/>
        </w:rPr>
      </w:pPr>
    </w:p>
    <w:p>
      <w:pPr>
        <w:pStyle w:val="[Normal]"/>
        <w:tabs>
          <w:tab w:val="left" w:pos="14740"/>
          <w:tab w:val="clear" w:pos="14742"/>
          <w:tab w:val="clear" w:pos="15876"/>
        </w:tabs>
        <w:ind w:right="651"/>
        <w:jc w:val="center"/>
        <w:rPr>
          <w:rFonts w:ascii="Trebuchet MS" w:hAnsi="Trebuchet MS" w:eastAsia="Trebuchet MS"/>
          <w:color w:val="000000"/>
          <w:sz w:val="40"/>
        </w:rPr>
      </w:pPr>
      <w:r>
        <w:drawing>
          <wp:anchor distT="0" distB="0" distL="0" distR="0" simplePos="0" relativeHeight="1000000" behindDoc="0" locked="0" layoutInCell="1" allowOverlap="1" hidden="false">
            <wp:simplePos x="0" y="0"/>
            <wp:positionH relativeFrom="column">
              <wp:align>left</wp:align>
            </wp:positionH>
            <wp:positionV relativeFrom="paragraph">
              <wp:posOffset>0</wp:posOffset>
            </wp:positionV>
            <wp:extent cx="9582150" cy="1395095"/>
            <wp:wrapSquare wrapText="bothSides"/>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9582150" cy="1395095"/>
                    </a:xfrm>
                    <a:prstGeom prst="rect">
                      <a:avLst/>
                    </a:prstGeom>
                  </pic:spPr>
                </pic:pic>
              </a:graphicData>
            </a:graphic>
          </wp:anchor>
        </w:drawing>
      </w:r>
    </w:p>
    <w:p>
      <w:pPr>
        <w:pStyle w:val="[Normal]"/>
        <w:tabs>
          <w:tab w:val="left" w:pos="14740"/>
          <w:tab w:val="clear" w:pos="14742"/>
          <w:tab w:val="clear" w:pos="15876"/>
        </w:tabs>
        <w:ind w:right="651"/>
        <w:jc w:val="center"/>
        <w:rPr>
          <w:rFonts w:ascii="Trebuchet MS" w:hAnsi="Trebuchet MS" w:eastAsia="Trebuchet MS"/>
          <w:color w:val="000000"/>
          <w:sz w:val="40"/>
        </w:rPr>
      </w:pPr>
    </w:p>
    <w:p>
      <w:pPr>
        <w:pStyle w:val="[Normal]"/>
        <w:tabs>
          <w:tab w:val="left" w:pos="14740"/>
          <w:tab w:val="clear" w:pos="14742"/>
          <w:tab w:val="clear" w:pos="15876"/>
        </w:tabs>
        <w:ind w:right="651"/>
        <w:jc w:val="center"/>
        <w:rPr>
          <w:rFonts w:ascii="Trebuchet MS" w:hAnsi="Trebuchet MS" w:eastAsia="Trebuchet MS"/>
          <w:color w:val="000000"/>
          <w:sz w:val="40"/>
        </w:rPr>
      </w:pPr>
    </w:p>
    <w:p>
      <w:pPr>
        <w:pStyle w:val="[Normal]"/>
        <w:tabs>
          <w:tab w:val="left" w:pos="14740"/>
          <w:tab w:val="clear" w:pos="14742"/>
          <w:tab w:val="clear" w:pos="15876"/>
        </w:tabs>
        <w:ind w:right="651"/>
        <w:jc w:val="center"/>
        <w:rPr>
          <w:rFonts w:ascii="Trebuchet MS" w:hAnsi="Trebuchet MS" w:eastAsia="Trebuchet MS"/>
          <w:color w:val="000000"/>
          <w:sz w:val="40"/>
        </w:rPr>
      </w:pPr>
    </w:p>
    <w:tbl>
      <w:tblPr>
        <w:tblW w:w="0" w:type="auto"/>
        <w:jc w:val="left"/>
        <w:tblInd w:w="36" w:type="dxa"/>
        <w:tblBorders>
          <w:top w:val="none"/>
          <w:left w:val="none"/>
          <w:bottom w:val="none"/>
          <w:right w:val="none"/>
          <w:insideH w:val="none"/>
          <w:insideV w:val="none"/>
        </w:tblBorders>
        <w:tblLayout w:type="fixed"/>
        <w:tblCellMar>
          <w:top w:w="0" w:type="dxa"/>
          <w:left w:w="36" w:type="dxa"/>
          <w:bottom w:w="0" w:type="dxa"/>
          <w:right w:w="36" w:type="dxa"/>
        </w:tblCellMar>
      </w:tblPr>
      <w:tblGrid>
        <w:gridCol w:w="15135"/>
      </w:tblGrid>
      <w:tr>
        <w:tc>
          <w:tcPr>
            <w:tcW w:w="15135" w:type="dxa"/>
            <w:shd w:val="clear" w:fill="FF8000"/>
            <w:vAlign w:val="top"/>
          </w:tcPr>
          <w:p>
            <w:pPr>
              <w:pStyle w:val="[Normal]"/>
              <w:tabs>
                <w:tab w:val="left" w:pos="14740"/>
                <w:tab w:val="clear" w:pos="14742"/>
                <w:tab w:val="clear" w:pos="15876"/>
              </w:tabs>
              <w:ind w:right="651"/>
              <w:jc w:val="center"/>
              <w:rPr>
                <w:rFonts w:ascii="Trebuchet MS" w:hAnsi="Trebuchet MS" w:eastAsia="Trebuchet MS"/>
                <w:color w:val="000000"/>
                <w:sz w:val="40"/>
              </w:rPr>
            </w:pPr>
            <w:r>
              <w:rPr>
                <w:rFonts w:ascii="Trebuchet MS" w:hAnsi="Trebuchet MS" w:eastAsia="Trebuchet MS"/>
                <w:color w:val="000000"/>
                <w:sz w:val="200"/>
              </w:rPr>
              <w:t xml:space="preserve">APPARTEMENT</w:t>
            </w:r>
          </w:p>
        </w:tc>
      </w:tr>
      <w:tr>
        <w:tc>
          <w:tcPr>
            <w:tcW w:w="15135" w:type="dxa"/>
            <w:shd w:val="clear" w:fill="auto"/>
            <w:vAlign w:val="top"/>
          </w:tcPr>
          <w:p>
            <w:pPr>
              <w:pStyle w:val="[Normal]"/>
              <w:tabs>
                <w:tab w:val="left" w:pos="14740"/>
                <w:tab w:val="clear" w:pos="14742"/>
                <w:tab w:val="clear" w:pos="15876"/>
              </w:tabs>
              <w:ind w:right="651"/>
              <w:jc w:val="center"/>
              <w:rPr>
                <w:rFonts w:ascii="Trebuchet MS" w:hAnsi="Trebuchet MS" w:eastAsia="Trebuchet MS"/>
                <w:color w:val="000000"/>
                <w:sz w:val="40"/>
              </w:rPr>
            </w:pPr>
            <w:r>
              <w:rPr>
                <w:rFonts w:ascii="Trebuchet MS" w:hAnsi="Trebuchet MS" w:eastAsia="Trebuchet MS"/>
                <w:color w:val="000000"/>
                <w:sz w:val="40"/>
              </w:rPr>
              <w:t xml:space="preserve">Réf 2963 B - Idéalement situé au cœur d’Ixelles, à deux pas des commerces, des restaurants et des transports en commun, cet appartement spacieux et parfaitement distribué offre un cadre de vie confortable et agréable. Il se compose d’un vaste séjour baigné de lumière, d’une cuisine entièrement équipée, de deux grandes chambres, dont une donnant accès à une terrasse privative, parfaite pour profiter d’un moment de détente en extérieur. Vous y trouverez également une salle de bain ainsi qu’un WC séparé. Ses volumes généreux, sa luminosité et sa situation recherchée en font un bien idéal pour un couple, une colocation ou un investissement. À visiter sans tarder ! Faire offre à partir de 315.000,00 euros sous réserve d'accepation du propriétaire. Infos &amp; Visites CENTURY 21 Boondael 02/660.21.21 OU info@century21boondael.be</w:t>
            </w:r>
          </w:p>
          <w:p>
            <w:pPr>
              <w:pStyle w:val="[Normal]"/>
              <w:tabs>
                <w:tab w:val="left" w:pos="14740"/>
                <w:tab w:val="clear" w:pos="14742"/>
                <w:tab w:val="clear" w:pos="15876"/>
              </w:tabs>
              <w:ind w:right="651"/>
              <w:jc w:val="center"/>
              <w:rPr>
                <w:rFonts w:ascii="Trebuchet MS" w:hAnsi="Trebuchet MS" w:eastAsia="Trebuchet MS"/>
                <w:color w:val="000000"/>
                <w:sz w:val="40"/>
              </w:rPr>
            </w:pPr>
          </w:p>
        </w:tc>
      </w:tr>
      <w:tr>
        <w:tc>
          <w:tcPr>
            <w:tcW w:w="15135" w:type="dxa"/>
            <w:shd w:val="clear" w:fill="000000"/>
            <w:vAlign w:val="top"/>
          </w:tcPr>
          <w:p>
            <w:pPr>
              <w:pStyle w:val="[Normal]"/>
              <w:tabs>
                <w:tab w:val="left" w:pos="14740"/>
                <w:tab w:val="clear" w:pos="14742"/>
                <w:tab w:val="clear" w:pos="15876"/>
              </w:tabs>
              <w:ind w:right="651"/>
              <w:jc w:val="center"/>
              <w:rPr>
                <w:rFonts w:ascii="Trebuchet MS" w:hAnsi="Trebuchet MS" w:eastAsia="Trebuchet MS"/>
                <w:color w:val="000000"/>
                <w:sz w:val="40"/>
              </w:rPr>
            </w:pPr>
            <w:r>
              <w:rPr>
                <w:rFonts w:ascii="Trebuchet MS" w:hAnsi="Trebuchet MS" w:eastAsia="Trebuchet MS"/>
                <w:color w:val="FF8000"/>
                <w:sz w:val="240"/>
              </w:rPr>
              <w:t xml:space="preserve">A VENDRE</w:t>
            </w:r>
          </w:p>
        </w:tc>
      </w:tr>
    </w:tbl>
    <w:p>
      <w:pPr>
        <w:pStyle w:val="[Normal]"/>
        <w:tabs>
          <w:tab w:val="left" w:pos="14740"/>
          <w:tab w:val="clear" w:pos="14742"/>
          <w:tab w:val="clear" w:pos="15876"/>
        </w:tabs>
        <w:ind w:right="651"/>
        <w:jc w:val="center"/>
        <w:rPr>
          <w:rFonts w:ascii="Trebuchet MS" w:hAnsi="Trebuchet MS" w:eastAsia="Trebuchet MS"/>
          <w:sz w:val="20"/>
        </w:rPr>
      </w:pPr>
      <w:r>
        <w:rPr>
          <w:rFonts w:ascii="Trebuchet MS" w:hAnsi="Trebuchet MS" w:eastAsia="Trebuchet MS"/>
          <w:sz w:val="20"/>
        </w:rPr>
        <w:t xml:space="preserve">Ce document est à titre informatif et non contractuel</w:t>
      </w:r>
    </w:p>
    <w:p>
      <w:pPr>
        <w:pStyle w:val="[Normal]"/>
        <w:tabs>
          <w:tab w:val="left" w:pos="10771"/>
          <w:tab w:val="right" w:pos="1431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651"/>
        <w:jc w:val="center"/>
        <w:rPr>
          <w:rFonts w:ascii="Trebuchet MS" w:hAnsi="Trebuchet MS" w:eastAsia="Trebuchet MS"/>
          <w:sz w:val="20"/>
        </w:rPr>
      </w:pPr>
      <w:r>
        <w:rPr>
          <w:rFonts w:ascii="Trebuchet MS" w:hAnsi="Trebuchet MS" w:eastAsia="Trebuchet MS"/>
          <w:sz w:val="20"/>
        </w:rPr>
        <w:t xml:space="preserve">Chaque agence est juridiquement et financièrement indépendante</w:t>
      </w:r>
    </w:p>
    <w:sectPr>
      <w:headerReference w:type="default" r:id="rId00006"/>
      <w:footerReference w:type="default" r:id="rId00007"/>
      <w:pgSz w:w="16837" w:h="11903" w:orient="landscape"/>
      <w:pgMar w:top="567" w:right="851" w:bottom="567" w:left="851" w:header="284" w:footer="284"/>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Trebuchet MS">
    <w:charset w:val="00"/>
    <w:family w:val="swiss"/>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pStyle w:val="[Normal]"/>
      <w:jc w:val="center"/>
      <w:rPr>
        <w:sz w:val="16"/>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pStyle w:val="[Normal]"/>
      <w:tabs>
        <w:tab w:val="left" w:pos="14173"/>
        <w:tab w:val="clear" w:pos="14742"/>
        <w:tab w:val="clear" w:pos="15876"/>
      </w:tabs>
      <w:jc w:val="center"/>
    </w:pPr>
  </w:p>
</w:hdr>
</file>

<file path=word/numbering.xml><?xml version="1.0" encoding="utf-8"?>
<w:numbering xmlns:w="http://schemas.openxmlformats.org/wordprocessingml/2006/main">
  <w:abstractNum w:abstractNumId="0">
    <w:multiLevelType w:val="singleLevel"/>
    <w:lvl w:ilvl="0">
      <w:start w:val="1"/>
      <w:numFmt w:val="bullet"/>
      <w:pStyle w:val="Détail"/>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num w:numId="1">
    <w:abstractNumId w:val="0"/>
  </w:num>
</w:numbering>
</file>

<file path=word/settings.xml><?xml version="1.0" encoding="utf-8"?>
<w:settings xmlns:w="http://schemas.openxmlformats.org/wordprocessingml/2006/main">
  <w:bordersDoNotSurroundHeader/>
  <w:bordersDoNotSurroundFooter/>
  <w:defaultTabStop w:val="1134"/>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b w:val="off"/>
      <w:i w:val="off"/>
      <w:strike w:val="off"/>
      <w:color w:val="auto"/>
      <w:sz w:val="24"/>
      <w:shd w:val="clear" w:fill="auto"/>
    </w:rPr>
  </w:style>
  <w:style w:type="paragraph" w:styleId="Normal">
    <w:name w:val="Normal"/>
    <w:basedOn w:val="[Normal]"/>
    <w:next w:val="Normal"/>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rPr>
  </w:style>
  <w:style w:type="paragraph" w:styleId="Détail">
    <w:name w:val="Détail"/>
    <w:basedOn w:val="Normal"/>
    <w:next w:val="Détail"/>
    <w:qFormat/>
    <w:pPr>
      <w:numPr>
        <w:ilvl w:val="0"/>
        <w:numId w:val="1"/>
      </w:numPr>
      <w:ind w:left="360" w:hanging="360"/>
    </w:pPr>
    <w:rPr>
      <w:rFonts w:ascii="Arial" w:hAnsi="Arial" w:eastAsia="Arial"/>
      <w:sz w:val="20"/>
    </w:rPr>
  </w:style>
  <w:style w:type="paragraph" w:styleId="Type de détail">
    <w:name w:val="Type de détail"/>
    <w:basedOn w:val="Normal"/>
    <w:next w:val="Détail"/>
    <w:qFormat/>
    <w:pPr/>
    <w:rPr>
      <w:rFonts w:ascii="Arial" w:hAnsi="Arial" w:eastAsia="Arial"/>
      <w:b w:val="on"/>
      <w:sz w:val="18"/>
      <w:u w:val="single"/>
    </w:rPr>
  </w:style>
</w:styles>
</file>

<file path=word/_rels/document.xml.rels><?xml version="1.0" encoding="UTF-8" standalone="yes"?>
<Relationships xmlns="http://schemas.openxmlformats.org/package/2006/relationships">
	<Relationship Id="rId00004" Type="http://schemas.openxmlformats.org/officeDocument/2006/relationships/styles" Target="styles.xml"/>
	<Relationship Id="rId00006" Type="http://schemas.openxmlformats.org/officeDocument/2006/relationships/header" Target="header0001.xml"/>
	<Relationship Id="rId00007" Type="http://schemas.openxmlformats.org/officeDocument/2006/relationships/footer" Target="footer0001.xml"/>
	<Relationship Id="rId00005" Type="http://schemas.openxmlformats.org/officeDocument/2006/relationships/image" Target="media/image0001.jpg"/>
	<Relationship Id="rId00008" Type="http://schemas.openxmlformats.org/officeDocument/2006/relationships/numbering" Target="numbering.xml"/>
	<Relationship Id="rId00009" Type="http://schemas.openxmlformats.org/officeDocument/2006/relationships/fontTable" Target="fontTable.xml"/>
	<Relationship Id="rId000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17.0.140.501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