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ackground w:color="FFFFFF"/>
  <w:body>
    <w:p>
      <w:pPr>
        <w:pStyle w:val="[Normal]"/>
        <w:widowControl w:val="on"/>
        <w:rPr>
          <w:rFonts w:ascii="Trebuchet MS" w:hAnsi="Trebuchet MS" w:eastAsia="Trebuchet MS"/>
          <w:sz w:val="4"/>
        </w:rPr>
      </w:pPr>
    </w:p>
    <w:p>
      <w:pPr>
        <w:pStyle w:val="[Normal]"/>
        <w:widowControl w:val="on"/>
        <w:tabs>
          <w:tab w:val="left" w:pos="14740"/>
          <w:tab w:val="clear" w:pos="14742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  <w:r>
        <w:drawing>
          <wp:anchor distT="0" distB="0" distL="0" distR="0" simplePos="0" relativeHeight="1000000" behindDoc="0" locked="0" layoutInCell="1" allowOverlap="1" hidden="fals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9582150" cy="1395095"/>
            <wp:wrapSquare wrapText="bothSides"/>
            <wp:docPr id="1" name="_tx_id_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00005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[Normal]"/>
        <w:widowControl w:val="on"/>
        <w:tabs>
          <w:tab w:val="left" w:pos="14740"/>
          <w:tab w:val="clear" w:pos="14742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p>
      <w:pPr>
        <w:pStyle w:val="[Normal]"/>
        <w:widowControl w:val="on"/>
        <w:tabs>
          <w:tab w:val="left" w:pos="14740"/>
          <w:tab w:val="clear" w:pos="14742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p>
      <w:pPr>
        <w:pStyle w:val="[Normal]"/>
        <w:widowControl w:val="on"/>
        <w:tabs>
          <w:tab w:val="left" w:pos="14740"/>
          <w:tab w:val="clear" w:pos="14742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tbl>
      <w:tblPr>
        <w:tblW w:w="0" w:type="auto"/>
        <w:jc w:val="left"/>
        <w:tblInd w:w="36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36" w:type="dxa"/>
          <w:bottom w:w="0" w:type="dxa"/>
          <w:right w:w="36" w:type="dxa"/>
        </w:tblCellMar>
      </w:tblPr>
      <w:tblGrid>
        <w:gridCol w:w="15135"/>
      </w:tblGrid>
      <w:tr>
        <w:tc>
          <w:tcPr>
            <w:tcW w:w="15135" w:type="dxa"/>
            <w:shd w:val="clear" w:fill="FF8000"/>
            <w:vAlign w:val="top"/>
          </w:tcPr>
          <w:p>
            <w:pPr>
              <w:pStyle w:val="[Normal]"/>
              <w:widowControl w:val="on"/>
              <w:tabs>
                <w:tab w:val="left" w:pos="14740"/>
                <w:tab w:val="clear" w:pos="14742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000000"/>
                <w:sz w:val="200"/>
              </w:rPr>
              <w:t xml:space="preserve">APPARTEMENT</w:t>
            </w:r>
          </w:p>
        </w:tc>
      </w:tr>
      <w:tr>
        <w:tc>
          <w:tcPr>
            <w:tcW w:w="15135" w:type="dxa"/>
            <w:shd w:val="clear" w:fill="auto"/>
            <w:vAlign w:val="top"/>
          </w:tcPr>
          <w:p>
            <w:pPr>
              <w:pStyle w:val="[Normal]"/>
              <w:widowControl w:val="on"/>
              <w:tabs>
                <w:tab w:val="left" w:pos="14740"/>
                <w:tab w:val="clear" w:pos="14742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000000"/>
                <w:sz w:val="40"/>
              </w:rPr>
              <w:t xml:space="preserve">Réf 2974 B - Il se compose d’un vaste séjour baigné de lumière, d’une cuisine entièrement équipée, de deux grandes chambres, dont une donnant accès à une terrasse privative, parfaite pour profiter d’un moment de détente en extérieur, une salle de bain ainsi qu’un WC séparé.  À visiter sans tarder  Infos &amp; Visites CENTURY 21 Boondael 02/660.21.21 OU info@century21boondael.be</w:t>
            </w:r>
          </w:p>
        </w:tc>
      </w:tr>
      <w:tr>
        <w:tc>
          <w:tcPr>
            <w:tcW w:w="15135" w:type="dxa"/>
            <w:shd w:val="clear" w:fill="000000"/>
            <w:vAlign w:val="top"/>
          </w:tcPr>
          <w:p>
            <w:pPr>
              <w:pStyle w:val="[Normal]"/>
              <w:widowControl w:val="on"/>
              <w:tabs>
                <w:tab w:val="left" w:pos="14740"/>
                <w:tab w:val="clear" w:pos="14742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FF8000"/>
                <w:sz w:val="240"/>
              </w:rPr>
              <w:t xml:space="preserve">A VENDRE</w:t>
            </w:r>
          </w:p>
        </w:tc>
      </w:tr>
    </w:tbl>
    <w:p>
      <w:pPr>
        <w:pStyle w:val="[Normal]"/>
        <w:widowControl w:val="on"/>
        <w:tabs>
          <w:tab w:val="left" w:pos="14740"/>
          <w:tab w:val="clear" w:pos="14742"/>
        </w:tabs>
        <w:ind w:right="651"/>
        <w:jc w:val="center"/>
        <w:rPr>
          <w:rFonts w:ascii="Trebuchet MS" w:hAnsi="Trebuchet MS" w:eastAsia="Trebuchet MS"/>
          <w:sz w:val="20"/>
        </w:rPr>
      </w:pPr>
      <w:r>
        <w:rPr>
          <w:rFonts w:ascii="Trebuchet MS" w:hAnsi="Trebuchet MS" w:eastAsia="Trebuchet MS"/>
          <w:sz w:val="20"/>
        </w:rPr>
        <w:t xml:space="preserve">Ce document est à titre informatif et non contractuel</w:t>
      </w:r>
    </w:p>
    <w:p>
      <w:pPr>
        <w:pStyle w:val="[Normal]"/>
        <w:widowControl w:val="on"/>
        <w:tabs>
          <w:tab w:val="left" w:pos="10771"/>
          <w:tab w:val="right" w:pos="14314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</w:tabs>
        <w:ind w:right="651"/>
        <w:jc w:val="center"/>
        <w:rPr>
          <w:rFonts w:ascii="Trebuchet MS" w:hAnsi="Trebuchet MS" w:eastAsia="Trebuchet MS"/>
          <w:sz w:val="20"/>
        </w:rPr>
      </w:pPr>
      <w:r>
        <w:rPr>
          <w:rFonts w:ascii="Trebuchet MS" w:hAnsi="Trebuchet MS" w:eastAsia="Trebuchet MS"/>
          <w:sz w:val="20"/>
        </w:rPr>
        <w:t xml:space="preserve">Chaque agence est juridiquement et financièrement indépendante</w:t>
      </w:r>
    </w:p>
    <w:p>
      <w:pPr>
        <w:pStyle w:val="[Normal]"/>
        <w:widowControl w:val="on"/>
        <w:tabs>
          <w:tab w:val="left" w:pos="10771"/>
          <w:tab w:val="right" w:pos="14314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</w:tabs>
        <w:ind w:right="651"/>
        <w:jc w:val="center"/>
        <w:rPr>
          <w:rFonts w:ascii="Trebuchet MS" w:hAnsi="Trebuchet MS" w:eastAsia="Trebuchet MS"/>
          <w:sz w:val="20"/>
        </w:rPr>
      </w:pPr>
    </w:p>
    <w:sectPr>
      <w:headerReference w:type="default" r:id="rId00006"/>
      <w:footerReference w:type="default" r:id="rId00007"/>
      <w:pgSz w:w="16837" w:h="11903" w:orient="landscape"/>
      <w:pgMar w:top="567" w:right="851" w:bottom="567" w:left="851" w:header="284" w:footer="284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widowControl w:val="on"/>
      <w:tabs>
        <w:tab w:val="left" w:pos="15134"/>
        <w:tab w:val="clear" w:pos="15876"/>
      </w:tabs>
      <w:jc w:val="center"/>
      <w:rPr>
        <w:sz w:val="16"/>
      </w:rPr>
    </w:pP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widowControl w:val="on"/>
      <w:tabs>
        <w:tab w:val="left" w:pos="14173"/>
        <w:tab w:val="clear" w:pos="15876"/>
      </w:tabs>
      <w:jc w:val="center"/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Normal">
    <w:name w:val="Normal"/>
    <w:basedOn w:val="[Normal]"/>
    <w:next w:val="Normal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Times New Roman" w:hAnsi="Times New Roman" w:eastAsia="Times New Roman"/>
    </w:rPr>
  </w:style>
  <w:style w:type="paragraph" w:styleId="Détail">
    <w:name w:val="Détail"/>
    <w:basedOn w:val="Normal"/>
    <w:next w:val="Détail"/>
    <w:qFormat/>
    <w:pPr>
      <w:numPr>
        <w:ilvl w:val="0"/>
        <w:numId w:val="1"/>
      </w:numPr>
      <w:tabs>
        <w:tab w:val="left" w:pos="360"/>
      </w:tabs>
      <w:ind w:left="360" w:hanging="360"/>
    </w:pPr>
    <w:rPr>
      <w:rFonts w:ascii="Arial" w:hAnsi="Arial" w:eastAsia="Arial"/>
      <w:sz w:val="20"/>
    </w:rPr>
  </w:style>
  <w:style w:type="paragraph" w:styleId="Type de détail">
    <w:name w:val="Type de détail"/>
    <w:basedOn w:val="Normal"/>
    <w:next w:val="Détail"/>
    <w:qFormat/>
    <w:pPr/>
    <w:rPr>
      <w:rFonts w:ascii="Arial" w:hAnsi="Arial" w:eastAsia="Arial"/>
      <w:b w:val="on"/>
      <w:sz w:val="18"/>
      <w:u w:val="single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5" Type="http://schemas.openxmlformats.org/officeDocument/2006/relationships/image" Target="media/image0001.jpg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17.0.140.501</Application>
  <HyperlinkBase>C:\Users\seb\CENTURY 21 Boondael\Century 21 Boondael - Documents\Activimmo\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