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"http:///bien-8541.html"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Maison unifamiliale reconnue urbanistiquement en 2 logements – 4 chambres avec jardin à Ixelles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3048000" cy="228600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Réf. 3006 B – Située proche de l’Auberge de Boondael, Century 21 Boondael vous propose aujourd’hui cette spacieuse maison 3 façades offrant de nombreuses possibilités d’aménagement.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Actuellement présentée comme une maison unifamiliale, elle est toutefois reconnue urbanistiquement comme étant composée de 2 logements.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Elle se compose de 4 chambres, idéale pour une famille ou un projet d’investissement. Le séjour chaleureux est agrémenté d’un poêle à bois, apportant confort et ambiance conviviale. Vous profiterez également d’une véranda lumineuse, donnant accès à une terrasse et à un jardin, parfaits pour vos moments de détente en extérieur. La maison dispose d’une salle de bain équipée à la fois d’une douche et d’une baignoire, répondant aux besoins du quotidien. Au sous-sol, une cave avec établi ravira les bricoleurs ou offrira un espace de rangement supplémentaire.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PEB : G. Électricité à remettre aux normes.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Une belle opportunité pour les amateurs de rénovation souhaitant personnaliser leur futur chez-soi ou développer un projet à double affectation ! À visiter sans tarder !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479.000 €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Chaussée de Boondael, 572 à 1050 Ixelles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Maison unifamiliale reconnu en 2 logements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chambre : 4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Oui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Oui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Aménagée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172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terrasse : 15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jardin : 50 m²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Détails : 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Type de détail"/>
      </w:pPr>
      <w:r>
        <w:t xml:space="preserve">RDC:</w:t>
      </w:r>
    </w:p>
    <w:p>
      <w:pPr>
        <w:pStyle w:val="Détail"/>
        <w:numPr>
          <w:ilvl w:val="0"/>
          <w:numId w:val="3"/>
        </w:numPr>
      </w:pPr>
      <w:r>
        <w:t xml:space="preserve">Arrière-cuisine 1,50 x 1,50 = 2,25m²</w:t>
      </w:r>
    </w:p>
    <w:p>
      <w:pPr>
        <w:pStyle w:val="Détail"/>
        <w:numPr>
          <w:ilvl w:val="0"/>
          <w:numId w:val="3"/>
        </w:numPr>
      </w:pPr>
      <w:r>
        <w:t xml:space="preserve">Cuisine 2,75 x 4 = 11m²</w:t>
      </w:r>
    </w:p>
    <w:p>
      <w:pPr>
        <w:pStyle w:val="Détail"/>
        <w:numPr>
          <w:ilvl w:val="0"/>
          <w:numId w:val="3"/>
        </w:numPr>
      </w:pPr>
      <w:r>
        <w:t xml:space="preserve">Hall  1,10 x 2,95 = 3,24m²</w:t>
      </w:r>
    </w:p>
    <w:p>
      <w:pPr>
        <w:pStyle w:val="Détail"/>
        <w:numPr>
          <w:ilvl w:val="0"/>
          <w:numId w:val="3"/>
        </w:numPr>
      </w:pPr>
      <w:r>
        <w:t xml:space="preserve">Palier 2,64 x 1,65 = 4,37m²</w:t>
      </w:r>
    </w:p>
    <w:p>
      <w:pPr>
        <w:pStyle w:val="Détail"/>
        <w:numPr>
          <w:ilvl w:val="0"/>
          <w:numId w:val="3"/>
        </w:numPr>
      </w:pPr>
      <w:r>
        <w:t xml:space="preserve">Salle à manger 3,05 x 4,50 = 13,72m²</w:t>
      </w:r>
    </w:p>
    <w:p>
      <w:pPr>
        <w:pStyle w:val="Détail"/>
        <w:numPr>
          <w:ilvl w:val="0"/>
          <w:numId w:val="3"/>
        </w:numPr>
      </w:pPr>
      <w:r>
        <w:t xml:space="preserve">Salon 3,65 x 3,50 = 12,77m²</w:t>
      </w:r>
    </w:p>
    <w:p>
      <w:pPr>
        <w:pStyle w:val="Détail"/>
        <w:numPr>
          <w:ilvl w:val="0"/>
          <w:numId w:val="3"/>
        </w:numPr>
      </w:pPr>
      <w:r>
        <w:t xml:space="preserve">WC 0,70 x 1,32 = 0,92m²</w:t>
      </w:r>
    </w:p>
    <w:p>
      <w:pPr>
        <w:pStyle w:val="Type de détail"/>
      </w:pPr>
      <w:r>
        <w:t xml:space="preserve">1ère étage:</w:t>
      </w:r>
    </w:p>
    <w:p>
      <w:pPr>
        <w:pStyle w:val="Détail"/>
        <w:numPr>
          <w:ilvl w:val="0"/>
          <w:numId w:val="3"/>
        </w:numPr>
      </w:pPr>
      <w:r>
        <w:t xml:space="preserve">Chambre Arriére : 4,50 x 3,05 = 13,72m² / Avant : 3,15 x 4,70 = 14,80m²</w:t>
      </w:r>
    </w:p>
    <w:p>
      <w:pPr>
        <w:pStyle w:val="Détail"/>
        <w:numPr>
          <w:ilvl w:val="0"/>
          <w:numId w:val="3"/>
        </w:numPr>
      </w:pPr>
      <w:r>
        <w:t xml:space="preserve">Hall  1,65 x 4,50 = 7,42m²</w:t>
      </w:r>
    </w:p>
    <w:p>
      <w:pPr>
        <w:pStyle w:val="Détail"/>
        <w:numPr>
          <w:ilvl w:val="0"/>
          <w:numId w:val="3"/>
        </w:numPr>
      </w:pPr>
      <w:r>
        <w:t xml:space="preserve">Salle de bains 2,75 x 5,10 = 14,02m²</w:t>
      </w:r>
    </w:p>
    <w:p>
      <w:pPr>
        <w:pStyle w:val="Détail"/>
        <w:numPr>
          <w:ilvl w:val="0"/>
          <w:numId w:val="3"/>
        </w:numPr>
      </w:pPr>
      <w:r>
        <w:t xml:space="preserve">WC 0,70 x 1,32 = 0,92m²</w:t>
      </w:r>
    </w:p>
    <w:p>
      <w:pPr>
        <w:pStyle w:val="Type de détail"/>
      </w:pPr>
      <w:r>
        <w:t xml:space="preserve">2ème étage:</w:t>
      </w:r>
    </w:p>
    <w:p>
      <w:pPr>
        <w:pStyle w:val="Détail"/>
        <w:numPr>
          <w:ilvl w:val="0"/>
          <w:numId w:val="3"/>
        </w:numPr>
      </w:pPr>
      <w:r>
        <w:t xml:space="preserve">Chambre Arriére : 3,05 x 4,50 = 13,72m² / Avant : 4,70 x 3,15 = 14,80m²</w:t>
      </w:r>
    </w:p>
    <w:p>
      <w:pPr>
        <w:pStyle w:val="Type de détail"/>
      </w:pPr>
      <w:r>
        <w:t xml:space="preserve">2ème étage (suite):</w:t>
      </w:r>
    </w:p>
    <w:p>
      <w:pPr>
        <w:pStyle w:val="Détail"/>
        <w:numPr>
          <w:ilvl w:val="0"/>
          <w:numId w:val="3"/>
        </w:numPr>
      </w:pPr>
      <w:r>
        <w:t xml:space="preserve">Hall  1,65 x 4,50 = 7,42m²</w:t>
      </w:r>
    </w:p>
    <w:p>
      <w:pPr>
        <w:pStyle w:val="Type de détail"/>
      </w:pPr>
      <w:r>
        <w:t xml:space="preserve">Pièces diverses:</w:t>
      </w:r>
    </w:p>
    <w:p>
      <w:pPr>
        <w:pStyle w:val="Détail"/>
        <w:numPr>
          <w:ilvl w:val="0"/>
          <w:numId w:val="3"/>
        </w:numPr>
      </w:pPr>
      <w:r>
        <w:t xml:space="preserve">Cave</w:t>
      </w:r>
    </w:p>
    <w:p>
      <w:pPr>
        <w:pStyle w:val="Type de détail"/>
      </w:pPr>
      <w:r>
        <w:t xml:space="preserve">Equipements divers:</w:t>
      </w:r>
    </w:p>
    <w:p>
      <w:pPr>
        <w:pStyle w:val="Détail"/>
        <w:numPr>
          <w:ilvl w:val="0"/>
          <w:numId w:val="3"/>
        </w:numPr>
      </w:pPr>
      <w:r>
        <w:t xml:space="preserve">Double vitrage</w:t>
      </w:r>
    </w:p>
    <w:p>
      <w:pPr>
        <w:pStyle w:val="Type de détail"/>
      </w:pPr>
      <w:r>
        <w:t xml:space="preserve">Fenêtres:</w:t>
      </w:r>
    </w:p>
    <w:p>
      <w:pPr>
        <w:pStyle w:val="Détail"/>
        <w:numPr>
          <w:ilvl w:val="0"/>
          <w:numId w:val="3"/>
        </w:numPr>
      </w:pPr>
      <w:r>
        <w:t xml:space="preserve">PVC</w:t>
      </w:r>
    </w:p>
    <w:p>
      <w:pPr>
        <w:pStyle w:val="Type de détail"/>
      </w:pPr>
      <w:r>
        <w:t xml:space="preserve">Certifications:</w:t>
      </w:r>
    </w:p>
    <w:p>
      <w:pPr>
        <w:pStyle w:val="Détail"/>
        <w:numPr>
          <w:ilvl w:val="0"/>
          <w:numId w:val="3"/>
        </w:numPr>
      </w:pPr>
      <w:r>
        <w:t xml:space="preserve">Emissions CO2 157,00 Kg Co2m²an</w:t>
      </w:r>
    </w:p>
    <w:p>
      <w:pPr>
        <w:pStyle w:val="Détail"/>
        <w:numPr>
          <w:ilvl w:val="0"/>
          <w:numId w:val="3"/>
        </w:numPr>
      </w:pPr>
      <w:r>
        <w:t xml:space="preserve">Numéro de certificat PEB 20260303-0000745407-01-6</w:t>
      </w:r>
    </w:p>
    <w:p>
      <w:pPr>
        <w:pStyle w:val="Détail"/>
        <w:numPr>
          <w:ilvl w:val="0"/>
          <w:numId w:val="3"/>
        </w:numPr>
      </w:pPr>
      <w:r>
        <w:t xml:space="preserve">Prestation énergétique 782,00 Kwh</w:t>
      </w:r>
    </w:p>
    <w:p>
      <w:pPr>
        <w:pStyle w:val="Détail"/>
        <w:numPr>
          <w:ilvl w:val="0"/>
          <w:numId w:val="3"/>
        </w:numPr>
      </w:pPr>
      <w:r>
        <w:t xml:space="preserve">Total énergie primaire 134.217,00 kwh/an</w:t>
      </w: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9" name="_tx_id_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0001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10" name="_tx_id_1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/>
                  </pic:nvPicPr>
                  <pic:blipFill>
                    <a:blip r:embed="rId000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828800" cy="1371600"/>
            <wp:docPr id="11" name="_tx_id_1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/>
                  </pic:nvPicPr>
                  <pic:blipFill>
                    <a:blip r:embed="rId000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2" name="_tx_id_1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/>
                  </pic:nvPicPr>
                  <pic:blipFill>
                    <a:blip r:embed="rId0001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13" name="_tx_id_1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/>
                  </pic:nvPicPr>
                  <pic:blipFill>
                    <a:blip r:embed="rId000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371600" cy="1828800"/>
            <wp:docPr id="14" name="_tx_id_1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/>
                  </pic:nvPicPr>
                  <pic:blipFill>
                    <a:blip r:embed="rId0001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15" name="_tx_id_1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/>
                  </pic:nvPicPr>
                  <pic:blipFill>
                    <a:blip r:embed="rId0001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</w:p>
    <w:sectPr>
      <w:headerReference w:type="default" r:id="rId00020"/>
      <w:footerReference w:type="default" r:id="rId00021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</w:t>
          </w:r>
          <w:r>
            <w:rPr>
              <w:rFonts w:ascii="Bahnschrift SemiLight" w:hAnsi="Bahnschrift SemiLight" w:eastAsia="Bahnschrift SemiLight"/>
              <w:sz w:val="20"/>
            </w:rPr>
            <w:t xml:space="preserve">info@century21boondael.be</w:t>
          </w:r>
        </w:p>
      </w:tc>
    </w:tr>
  </w:tbl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/>
    <w:rPr>
      <w:b w:val="on"/>
      <w:sz w:val="28"/>
    </w:rPr>
  </w:style>
  <w:style w:type="paragraph" w:styleId="Détail">
    <w:name w:val="Détail"/>
    <w:basedOn w:val="[Normal]"/>
    <w:next w:val="Détail"/>
    <w:qFormat/>
    <w:pPr>
      <w:numPr>
        <w:ilvl w:val="0"/>
        <w:numId w:val="1"/>
      </w:numPr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</w:pPr>
    <w:rPr>
      <w:b w:val="on"/>
    </w:rPr>
  </w:style>
  <w:style w:type="paragraph" w:styleId="TEST">
    <w:name w:val="TEST"/>
    <w:basedOn w:val="[Normal]"/>
    <w:next w:val="TEST"/>
    <w:qFormat/>
    <w:pPr/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20" Type="http://schemas.openxmlformats.org/officeDocument/2006/relationships/header" Target="header0001.xml"/>
	<Relationship Id="rId00021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3" Type="http://schemas.openxmlformats.org/officeDocument/2006/relationships/image" Target="media/image0009.jpg"/>
	<Relationship Id="rId00014" Type="http://schemas.openxmlformats.org/officeDocument/2006/relationships/image" Target="media/image0010.jpg"/>
	<Relationship Id="rId00015" Type="http://schemas.openxmlformats.org/officeDocument/2006/relationships/image" Target="media/image0011.jpg"/>
	<Relationship Id="rId00016" Type="http://schemas.openxmlformats.org/officeDocument/2006/relationships/image" Target="media/image0012.jpg"/>
	<Relationship Id="rId00017" Type="http://schemas.openxmlformats.org/officeDocument/2006/relationships/image" Target="media/image0013.jpg"/>
	<Relationship Id="rId00018" Type="http://schemas.openxmlformats.org/officeDocument/2006/relationships/image" Target="media/image0014.jpg"/>
	<Relationship Id="rId00019" Type="http://schemas.openxmlformats.org/officeDocument/2006/relationships/image" Target="media/image0015.jpg"/>
	<Relationship Id="rId00022" Type="http://schemas.openxmlformats.org/officeDocument/2006/relationships/numbering" Target="numbering.xml"/>
	<Relationship Id="rId00023" Type="http://schemas.openxmlformats.org/officeDocument/2006/relationships/fontTable" Target="fontTable.xml"/>
	<Relationship Id="rId00024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