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widowControl w:val="on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"bien-8541.html"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Maison unifamiliale reconnue urbanistiquement en 2 logements – 4 chambres avec jardin à Ixelles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3048000" cy="22860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Réf. 3006 B – Située proche de l’Auberge de Boondael, Century 21 Boondael vous propose aujourd’hui cette spacieuse maison 3 façades offrant de nombreuses possibilités d’aménagement.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Actuellement présentée comme une maison unifamiliale, elle est toutefois reconnue urbanistiquement comme étant composée de 2 logements.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Elle se compose de 4 chambres, idéale pour une famille ou un projet d’investissement. Le séjour chaleureux est agrémenté d’un poêle à bois, apportant confort et ambiance conviviale. Vous profiterez également d’une véranda lumineuse, donnant accès à une terrasse et à un jardin, parfaits pour vos moments de détente en extérieur. La maison dispose d’une salle de bain équipée à la fois d’une douche et d’une baignoire, répondant aux besoins du quotidien. Au sous-sol, une cave avec établi ravira les bricoleurs ou offrira un espace de rangement supplémentaire.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PEB : G. Électricité à remettre aux normes.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Une belle opportunité pour les amateurs de rénovation souhaitant personnaliser leur futur chez-soi ou développer un projet à double affectation ! À visiter sans tarder !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479.000 €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Chaussée de Boondael, 572 à 1050 Ixelles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Maison unifamiliale reconnu en 2 logements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4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Oui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Oui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Aménagée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172 m²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15 m²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50 m²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  <w:tabs>
          <w:tab w:val="left" w:pos="360"/>
          <w:tab w:val="clear" w:pos="15876"/>
        </w:tabs>
      </w:pPr>
      <w:r>
        <w:t xml:space="preserve">RDC:</w:t>
      </w:r>
    </w:p>
    <w:p>
      <w:pPr>
        <w:pStyle w:val="Détail"/>
        <w:numPr>
          <w:ilvl w:val="0"/>
          <w:numId w:val="3"/>
        </w:numPr>
      </w:pPr>
      <w:r>
        <w:t xml:space="preserve">Arrière-cuisine 1,50 x 1,50 = 2,25m²</w:t>
      </w:r>
    </w:p>
    <w:p>
      <w:pPr>
        <w:pStyle w:val="Détail"/>
        <w:numPr>
          <w:ilvl w:val="0"/>
          <w:numId w:val="3"/>
        </w:numPr>
      </w:pPr>
      <w:r>
        <w:t xml:space="preserve">Cuisine 2,75 x 4 = 11m²</w:t>
      </w:r>
    </w:p>
    <w:p>
      <w:pPr>
        <w:pStyle w:val="Détail"/>
        <w:numPr>
          <w:ilvl w:val="0"/>
          <w:numId w:val="3"/>
        </w:numPr>
      </w:pPr>
      <w:r>
        <w:t xml:space="preserve">Hall  1,10 x 2,95 = 3,24m²</w:t>
      </w:r>
    </w:p>
    <w:p>
      <w:pPr>
        <w:pStyle w:val="Détail"/>
        <w:numPr>
          <w:ilvl w:val="0"/>
          <w:numId w:val="3"/>
        </w:numPr>
      </w:pPr>
      <w:r>
        <w:t xml:space="preserve">Palier 2,64 x 1,65 = 4,37m²</w:t>
      </w:r>
    </w:p>
    <w:p>
      <w:pPr>
        <w:pStyle w:val="Détail"/>
        <w:numPr>
          <w:ilvl w:val="0"/>
          <w:numId w:val="3"/>
        </w:numPr>
      </w:pPr>
      <w:r>
        <w:t xml:space="preserve">Salle à manger 3,05 x 4,50 = 13,72m²</w:t>
      </w:r>
    </w:p>
    <w:p>
      <w:pPr>
        <w:pStyle w:val="Détail"/>
        <w:numPr>
          <w:ilvl w:val="0"/>
          <w:numId w:val="3"/>
        </w:numPr>
      </w:pPr>
      <w:r>
        <w:t xml:space="preserve">Salon 3,65 x 3,50 = 12,77m²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1ère étage:</w:t>
      </w:r>
    </w:p>
    <w:p>
      <w:pPr>
        <w:pStyle w:val="Détail"/>
        <w:numPr>
          <w:ilvl w:val="0"/>
          <w:numId w:val="3"/>
        </w:numPr>
      </w:pPr>
      <w:r>
        <w:t xml:space="preserve">Chambre Arriére : 4,50 x 3,05 = 13,72m² / Avant : 3,15 x 4,70 = 14,80m²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Détail"/>
        <w:numPr>
          <w:ilvl w:val="0"/>
          <w:numId w:val="3"/>
        </w:numPr>
      </w:pPr>
      <w:r>
        <w:t xml:space="preserve">Salle de bains 2,75 x 5,10 = 14,02m²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2ème étage:</w:t>
      </w:r>
    </w:p>
    <w:p>
      <w:pPr>
        <w:pStyle w:val="Détail"/>
        <w:numPr>
          <w:ilvl w:val="0"/>
          <w:numId w:val="3"/>
        </w:numPr>
      </w:pPr>
      <w:r>
        <w:t xml:space="preserve">Chambre Arriére : 3,05 x 4,50 = 13,72m² / Avant : 4,70 x 3,15 = 14,80m²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2ème étage (suite):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Cave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Equipements divers:</w:t>
      </w:r>
    </w:p>
    <w:p>
      <w:pPr>
        <w:pStyle w:val="Détail"/>
        <w:numPr>
          <w:ilvl w:val="0"/>
          <w:numId w:val="3"/>
        </w:numPr>
      </w:pPr>
      <w:r>
        <w:t xml:space="preserve">Double vitrage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Fenêtres:</w:t>
      </w:r>
    </w:p>
    <w:p>
      <w:pPr>
        <w:pStyle w:val="Détail"/>
        <w:numPr>
          <w:ilvl w:val="0"/>
          <w:numId w:val="3"/>
        </w:numPr>
      </w:pPr>
      <w:r>
        <w:t xml:space="preserve">PVC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CO2 157,00 Kg Co2m²an</w:t>
      </w:r>
    </w:p>
    <w:p>
      <w:pPr>
        <w:pStyle w:val="Détail"/>
        <w:numPr>
          <w:ilvl w:val="0"/>
          <w:numId w:val="3"/>
        </w:numPr>
      </w:pPr>
      <w:r>
        <w:t xml:space="preserve">Numéro de certificat PEB 20260303-0000745407-01-6</w:t>
      </w:r>
    </w:p>
    <w:p>
      <w:pPr>
        <w:pStyle w:val="Détail"/>
        <w:numPr>
          <w:ilvl w:val="0"/>
          <w:numId w:val="3"/>
        </w:numPr>
      </w:pPr>
      <w:r>
        <w:t xml:space="preserve">Prestation énergétique 782,00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134.217,00 kwh/an</w:t>
      </w:r>
    </w:p>
    <w:p>
      <w:pPr>
        <w:pStyle w:val="Détail"/>
        <w:numPr>
          <w:ilvl w:val="0"/>
          <w:numId w:val="0"/>
        </w:numPr>
        <w:tabs>
          <w:tab w:val="left" w:pos="15876"/>
          <w:tab w:val="clear" w:pos="360"/>
        </w:tabs>
        <w:ind w:left="0" w:firstLine="0"/>
      </w:pPr>
    </w:p>
    <w:p>
      <w:pPr>
        <w:pStyle w:val="Détail"/>
        <w:numPr>
          <w:ilvl w:val="0"/>
          <w:numId w:val="0"/>
        </w:numPr>
        <w:tabs>
          <w:tab w:val="left" w:pos="15876"/>
          <w:tab w:val="clear" w:pos="360"/>
        </w:tabs>
        <w:ind w:left="0" w:firstLine="0"/>
      </w:pPr>
    </w:p>
    <w:p>
      <w:pPr>
        <w:pStyle w:val="Détail"/>
        <w:numPr>
          <w:ilvl w:val="0"/>
          <w:numId w:val="0"/>
        </w:numPr>
        <w:tabs>
          <w:tab w:val="left" w:pos="15876"/>
          <w:tab w:val="clear" w:pos="360"/>
        </w:tabs>
        <w:ind w:left="0" w:firstLine="0"/>
      </w:pPr>
    </w:p>
    <w:p>
      <w:pPr>
        <w:pStyle w:val="Détail"/>
        <w:numPr>
          <w:ilvl w:val="0"/>
          <w:numId w:val="0"/>
        </w:numPr>
        <w:tabs>
          <w:tab w:val="left" w:pos="15876"/>
          <w:tab w:val="clear" w:pos="360"/>
        </w:tabs>
        <w:ind w:left="0" w:firstLine="0"/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16" name="_tx_id_1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/>
                  </pic:nvPicPr>
                  <pic:blipFill>
                    <a:blip r:embed="rId000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17" name="_tx_id_1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000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8" name="_tx_id_1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0002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19" name="_tx_id_1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/>
                  </pic:nvPicPr>
                  <pic:blipFill>
                    <a:blip r:embed="rId000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5240000" cy="11430000"/>
            <wp:docPr id="20" name="_tx_id_2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/>
                  </pic:nvPicPr>
                  <pic:blipFill>
                    <a:blip r:embed="rId000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sectPr>
      <w:headerReference w:type="default" r:id="rId00025"/>
      <w:footerReference w:type="default" r:id="rId00026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color w:val="FFFFFF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info@century21boondael.be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Détail">
    <w:name w:val="Détail"/>
    <w:basedOn w:val="[Normal]"/>
    <w:next w:val="Détail"/>
    <w:qFormat/>
    <w:pPr>
      <w:widowControl w:val="on"/>
      <w:numPr>
        <w:ilvl w:val="0"/>
        <w:numId w:val="1"/>
      </w:numPr>
      <w:tabs>
        <w:tab w:val="left" w:pos="360"/>
        <w:tab w:val="clear" w:pos="15876"/>
      </w:tabs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  <w:tabs>
        <w:tab w:val="left" w:pos="15876"/>
        <w:tab w:val="clear" w:pos="360"/>
      </w:tabs>
    </w:pPr>
    <w:rPr>
      <w:b w:val="on"/>
    </w:rPr>
  </w:style>
  <w:style w:type="paragraph" w:styleId="Titre1">
    <w:name w:val="Titre1"/>
    <w:basedOn w:val="[Normal]"/>
    <w:next w:val="Titre1"/>
    <w:qFormat/>
    <w:pPr>
      <w:widowControl w:val="on"/>
    </w:pPr>
    <w:rPr>
      <w:b w:val="on"/>
      <w:sz w:val="28"/>
    </w:rPr>
  </w:style>
  <w:style w:type="paragraph" w:styleId="TEST">
    <w:name w:val="TEST"/>
    <w:basedOn w:val="[Normal]"/>
    <w:next w:val="TEST"/>
    <w:qFormat/>
    <w:pPr>
      <w:widowControl w:val="on"/>
    </w:pPr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5" Type="http://schemas.openxmlformats.org/officeDocument/2006/relationships/header" Target="header0001.xml"/>
	<Relationship Id="rId00026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0" Type="http://schemas.openxmlformats.org/officeDocument/2006/relationships/image" Target="media/image0016.jpg"/>
	<Relationship Id="rId00021" Type="http://schemas.openxmlformats.org/officeDocument/2006/relationships/image" Target="media/image0017.jpg"/>
	<Relationship Id="rId00022" Type="http://schemas.openxmlformats.org/officeDocument/2006/relationships/image" Target="media/image0018.jpg"/>
	<Relationship Id="rId00023" Type="http://schemas.openxmlformats.org/officeDocument/2006/relationships/image" Target="media/image0019.jpg"/>
	<Relationship Id="rId00024" Type="http://schemas.openxmlformats.org/officeDocument/2006/relationships/image" Target="media/image0020.jpg"/>
	<Relationship Id="rId00027" Type="http://schemas.openxmlformats.org/officeDocument/2006/relationships/numbering" Target="numbering.xml"/>
	<Relationship Id="rId00028" Type="http://schemas.openxmlformats.org/officeDocument/2006/relationships/fontTable" Target="fontTable.xml"/>
	<Relationship Id="rId00029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  <HyperlinkBase>C:\Users\Chaïma HADI\CENTURY 21 Boondael\Century 21 Boondael - Documents\Activimmo\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