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[Normal]"/>
        <w:widowControl w:val="on"/>
        <w:jc w:val="center"/>
        <w:rPr>
          <w:rFonts w:ascii="Century Gothic" w:hAnsi="Century Gothic" w:eastAsia="Century Gothic"/>
          <w:b w:val="on"/>
          <w:color w:val="000000"/>
          <w:sz w:val="32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</w:pP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begin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instrText xml:space="preserve"> HYPERLINK "bien-8543.html" </w:instrText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separate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t xml:space="preserve">proximité Louise-Vleurgat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0"/>
        </w:rPr>
        <w:fldChar w:fldCharType="end"/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drawing>
          <wp:inline distT="0" distB="0" distL="0" distR="0">
            <wp:extent cx="4023360" cy="3200400"/>
            <wp:docPr id="2" name="_tx_id_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00006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Bruxelles 1000 (réf 3007 B) CAMBRE/LOUISE : IDEAL INVESTISSEMENT car TOP SITUATION! Magnifique studio LUMINEUX ARRIERE sis au 5ème étage sur 7 avec ascenseur aux normes! hall d'entrée avec placards encastrés - salle de bain avec baignoire et lavabo - wc séparé - grande pièce (salon -  espace chambre séparé) avec cuisine semi-équipée. Parquet flottant partout. Décors ancien mais très propre. Châssis double vitrage en alu. vue arrière S-E PEB = G. Charges mesnsuelles de +/-150€ (chauffage central - eau - commun). Libre à l'acte.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6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Infos &amp; Visites Century 21 Boondael 02/660.21.21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OU www.century21boondael.be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  <w:sz w:val="26"/>
          <w:u w:val="double"/>
        </w:rPr>
        <w:t xml:space="preserve">Prix : 169.000 €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  <w:t xml:space="preserve">Chaussée de Vleurgat, 150-158 à 1000 Brussel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Informations générales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Affectation du bien : Studio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salle de bains : 1 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Garage / Parking :  / 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Terrasse : /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Jardin : /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Exposition : S-E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cuisine : Equipée et aménagée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chauffage : Gaz Collectif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Année de construction : 1970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Charges mensuelles : 150 €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61"/>
        </w:rPr>
        <w:t xml:space="preserve">Surfaces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habitable : 36 m²</w:t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FFC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Photos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3" name="_tx_id_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0000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371600" cy="1828800"/>
            <wp:docPr id="4" name="_tx_id_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/>
                  </pic:nvPicPr>
                  <pic:blipFill>
                    <a:blip r:embed="rId0000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</w:t>
      </w:r>
      <w:r>
        <w:drawing>
          <wp:inline distT="0" distB="0" distL="0" distR="0">
            <wp:extent cx="1371600" cy="1828800"/>
            <wp:docPr id="5" name="_tx_id_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/>
                  </pic:nvPicPr>
                  <pic:blipFill>
                    <a:blip r:embed="rId0000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371600" cy="1828800"/>
            <wp:docPr id="6" name="_tx_id_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/>
                  </pic:nvPicPr>
                  <pic:blipFill>
                    <a:blip r:embed="rId0001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</w:t>
      </w:r>
      <w:r>
        <w:drawing>
          <wp:inline distT="0" distB="0" distL="0" distR="0">
            <wp:extent cx="1371600" cy="1828800"/>
            <wp:docPr id="7" name="_tx_id_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/>
                  </pic:nvPicPr>
                  <pic:blipFill>
                    <a:blip r:embed="rId000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1371600" cy="1828800"/>
            <wp:docPr id="8" name="_tx_id_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/>
                  </pic:nvPicPr>
                  <pic:blipFill>
                    <a:blip r:embed="rId0001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1371600" cy="1828800"/>
            <wp:docPr id="9" name="_tx_id_9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/>
                  </pic:nvPicPr>
                  <pic:blipFill>
                    <a:blip r:embed="rId0001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sectPr>
      <w:headerReference w:type="default" r:id="rId00014"/>
      <w:footerReference w:type="default" r:id="rId00015"/>
      <w:pgSz w:w="11906" w:h="16837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  <w:font w:name="Bahnschrift SemiBold">
    <w:charset w:val="00"/>
    <w:family w:val="swiss"/>
    <w:pitch w:val="variable"/>
  </w:font>
  <w:font w:name="Bahnschrift SemiLight">
    <w:charset w:val="00"/>
    <w:family w:val="swiss"/>
    <w:pitch w:val="variable"/>
  </w:font>
  <w:font w:name="Century Gothic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0" w:type="dxa"/>
        <w:bottom w:w="0" w:type="dxa"/>
        <w:right w:w="30" w:type="dxa"/>
      </w:tblCellMar>
    </w:tblPr>
    <w:tblGrid>
      <w:gridCol w:w="9638"/>
    </w:tblGrid>
    <w:tr>
      <w:tc>
        <w:tcPr>
          <w:tcW w:w="9638" w:type="dxa"/>
          <w:shd w:val="clear" w:fill="FFFFFF"/>
          <w:vAlign w:val="top"/>
        </w:tcPr>
        <w:p>
          <w:pPr>
            <w:pStyle w:val="[Normal]"/>
            <w:widowControl w:val="on"/>
            <w:tabs>
              <w:tab w:val="left" w:pos="9637"/>
              <w:tab w:val="clear" w:pos="10206"/>
            </w:tabs>
            <w:jc w:val="center"/>
            <w:rPr>
              <w:rFonts w:ascii="Bahnschrift SemiLight" w:hAnsi="Bahnschrift SemiLight" w:eastAsia="Bahnschrift SemiLight"/>
              <w:sz w:val="2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Century 21 Boondael  Tél : 02 660 21 21 Site web : p/* www.century21.be</w:t>
          </w:r>
        </w:p>
        <w:p>
          <w:pPr>
            <w:pStyle w:val="[Normal]"/>
            <w:widowControl w:val="on"/>
            <w:tabs>
              <w:tab w:val="left" w:pos="9637"/>
              <w:tab w:val="clear" w:pos="10206"/>
            </w:tabs>
            <w:jc w:val="center"/>
            <w:rPr>
              <w:rFonts w:ascii="Bahnschrift SemiLight" w:hAnsi="Bahnschrift SemiLight" w:eastAsia="Bahnschrift SemiLight"/>
              <w:color w:val="FFFFFF"/>
              <w:sz w:val="20"/>
              <w:shd w:val="clear" w:fill="00000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Email : info@century21boondael.be</w:t>
          </w:r>
        </w:p>
      </w:tc>
    </w:tr>
  </w:tbl>
  <w:p>
    <w:pPr>
      <w:pStyle w:val="[Normal]"/>
      <w:widowControl w:val="on"/>
      <w:tabs>
        <w:tab w:val="left" w:pos="9637"/>
        <w:tab w:val="clear" w:pos="10206"/>
      </w:tabs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Chaque agence est juridiquement et financièrement indépendante.</w:t>
    </w:r>
  </w:p>
  <w:p>
    <w:pPr>
      <w:pStyle w:val="[Normal]"/>
      <w:widowControl w:val="on"/>
      <w:tabs>
        <w:tab w:val="left" w:pos="9637"/>
        <w:tab w:val="clear" w:pos="10206"/>
      </w:tabs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Ce document est remis à titre informatif et non contractuel.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6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6" w:type="dxa"/>
        <w:bottom w:w="0" w:type="dxa"/>
        <w:right w:w="36" w:type="dxa"/>
      </w:tblCellMar>
    </w:tblPr>
    <w:tblGrid>
      <w:gridCol w:w="4801"/>
      <w:gridCol w:w="4801"/>
    </w:tblGrid>
    <w:tr>
      <w:tc>
        <w:tcPr>
          <w:tcW w:w="4801" w:type="dxa"/>
          <w:shd w:val="clear" w:fill="auto"/>
          <w:vAlign w:val="top"/>
        </w:tcPr>
        <w:p>
          <w:pPr>
            <w:pStyle w:val="[Normal]"/>
            <w:widowControl w:val="on"/>
            <w:tabs>
              <w:tab w:val="left" w:pos="9637"/>
              <w:tab w:val="clear" w:pos="10206"/>
            </w:tabs>
            <w:rPr>
              <w:rFonts w:ascii="Trebuchet MS" w:hAnsi="Trebuchet MS" w:eastAsia="Trebuchet MS"/>
              <w:sz w:val="20"/>
            </w:rPr>
          </w:pPr>
          <w:r>
            <w:drawing>
              <wp:anchor distT="0" distB="0" distL="0" distR="0" simplePos="0" relativeHeight="1000000" behindDoc="0" locked="0" layoutInCell="1" allowOverlap="1" hidden="false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866900" cy="1314450"/>
                <wp:wrapSquare wrapText="bothSides"/>
                <wp:docPr id="1" name="_tx_id_1_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000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131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1" w:type="dxa"/>
          <w:shd w:val="clear" w:fill="auto"/>
          <w:vAlign w:val="top"/>
        </w:tcPr>
        <w:p>
          <w:pPr>
            <w:pStyle w:val="[Normal]"/>
            <w:widowControl w:val="on"/>
            <w:tabs>
              <w:tab w:val="left" w:pos="9637"/>
              <w:tab w:val="clear" w:pos="10206"/>
            </w:tabs>
            <w:jc w:val="right"/>
            <w:rPr>
              <w:rFonts w:ascii="Trebuchet MS" w:hAnsi="Trebuchet MS" w:eastAsia="Trebuchet MS"/>
              <w:sz w:val="20"/>
            </w:rPr>
          </w:pPr>
          <w:r>
            <w:rPr>
              <w:rFonts w:ascii="Trebuchet MS" w:hAnsi="Trebuchet MS" w:eastAsia="Trebuchet MS"/>
              <w:sz w:val="20"/>
            </w:rPr>
            <w:t xml:space="preserve">  </w:t>
          </w:r>
        </w:p>
      </w:tc>
    </w:tr>
  </w:tbl>
  <w:p>
    <w:pPr>
      <w:pStyle w:val="[Normal]"/>
      <w:widowControl w:val="on"/>
      <w:tabs>
        <w:tab w:val="left" w:pos="9637"/>
        <w:tab w:val="clear" w:pos="10206"/>
      </w:tabs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Avenue des Saisons, 42 à 1050 Ixelles                                                                                                </w:t>
    </w:r>
  </w:p>
  <w:p>
    <w:pPr>
      <w:pStyle w:val="[Normal]"/>
      <w:widowControl w:val="on"/>
      <w:tabs>
        <w:tab w:val="left" w:pos="9637"/>
        <w:tab w:val="clear" w:pos="10206"/>
      </w:tabs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02/660.21.21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000000"/>
        <w:position w:val="0"/>
        <w:sz w:val="20"/>
        <w:u w:val="none"/>
        <w:shd w:val="clear" w:fil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Titre1">
    <w:name w:val="Titre1"/>
    <w:basedOn w:val="[Normal]"/>
    <w:next w:val="Titre1"/>
    <w:qFormat/>
    <w:pPr>
      <w:widowControl w:val="on"/>
    </w:pPr>
    <w:rPr>
      <w:b w:val="on"/>
      <w:sz w:val="28"/>
    </w:rPr>
  </w:style>
  <w:style w:type="paragraph" w:styleId="Détail">
    <w:name w:val="Détail"/>
    <w:basedOn w:val="[Normal]"/>
    <w:next w:val="Détail"/>
    <w:qFormat/>
    <w:pPr>
      <w:widowControl w:val="on"/>
      <w:numPr>
        <w:ilvl w:val="0"/>
        <w:numId w:val="1"/>
      </w:numPr>
      <w:tabs>
        <w:tab w:val="left" w:pos="360"/>
        <w:tab w:val="clear" w:pos="15876"/>
      </w:tabs>
      <w:ind w:left="360" w:hanging="360"/>
    </w:pPr>
    <w:rPr>
      <w:sz w:val="20"/>
    </w:rPr>
  </w:style>
  <w:style w:type="paragraph" w:styleId="Type de détail">
    <w:name w:val="Type de détail"/>
    <w:basedOn w:val="Détail"/>
    <w:next w:val="Type de détail"/>
    <w:qFormat/>
    <w:pPr>
      <w:numPr>
        <w:ilvl w:val="0"/>
        <w:numId w:val="0"/>
      </w:numPr>
      <w:tabs>
        <w:tab w:val="left" w:pos="15876"/>
        <w:tab w:val="clear" w:pos="360"/>
      </w:tabs>
    </w:pPr>
    <w:rPr>
      <w:b w:val="on"/>
    </w:rPr>
  </w:style>
  <w:style w:type="paragraph" w:styleId="TEST">
    <w:name w:val="TEST"/>
    <w:basedOn w:val="[Normal]"/>
    <w:next w:val="TEST"/>
    <w:qFormat/>
    <w:pPr>
      <w:widowControl w:val="on"/>
    </w:pPr>
    <w:rPr>
      <w:sz w:val="168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14" Type="http://schemas.openxmlformats.org/officeDocument/2006/relationships/header" Target="header0001.xml"/>
	<Relationship Id="rId00015" Type="http://schemas.openxmlformats.org/officeDocument/2006/relationships/footer" Target="footer0001.xml"/>
	<Relationship Id="rId00006" Type="http://schemas.openxmlformats.org/officeDocument/2006/relationships/image" Target="media/image0002.jpg"/>
	<Relationship Id="rId00007" Type="http://schemas.openxmlformats.org/officeDocument/2006/relationships/image" Target="media/image0003.jpg"/>
	<Relationship Id="rId00008" Type="http://schemas.openxmlformats.org/officeDocument/2006/relationships/image" Target="media/image0004.jpg"/>
	<Relationship Id="rId00009" Type="http://schemas.openxmlformats.org/officeDocument/2006/relationships/image" Target="media/image0005.jpg"/>
	<Relationship Id="rId00010" Type="http://schemas.openxmlformats.org/officeDocument/2006/relationships/image" Target="media/image0006.jpg"/>
	<Relationship Id="rId00011" Type="http://schemas.openxmlformats.org/officeDocument/2006/relationships/image" Target="media/image0007.jpg"/>
	<Relationship Id="rId00012" Type="http://schemas.openxmlformats.org/officeDocument/2006/relationships/image" Target="media/image0008.jpg"/>
	<Relationship Id="rId00013" Type="http://schemas.openxmlformats.org/officeDocument/2006/relationships/image" Target="media/image0009.jpg"/>
	<Relationship Id="rId00016" Type="http://schemas.openxmlformats.org/officeDocument/2006/relationships/numbering" Target="numbering.xml"/>
	<Relationship Id="rId00017" Type="http://schemas.openxmlformats.org/officeDocument/2006/relationships/fontTable" Target="fontTable.xml"/>
	<Relationship Id="rId00018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  <HyperlinkBase>C:\Users\Chaïma HADI\CENTURY 21 Boondael\Century 21 Boondael - Documents\Activimmo\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