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bin" ContentType="application/vnd.openxmlformats-officedocument.oleObject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0001.xml" ContentType="application/vnd.openxmlformats-officedocument.wordprocessingml.header+xml"/>
  <Override PartName="/word/footer000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
<Relationships xmlns="http://schemas.openxmlformats.org/package/2006/relationships">
	<Relationship Id="rId00001" Type="http://schemas.openxmlformats.org/officeDocument/2006/relationships/officeDocument" Target="word/document.xml"/>
	<Relationship Id="rId00002" Type="http://schemas.openxmlformats.org/package/2006/relationships/metadata/core-properties" Target="docProps/core.xml"/>
	<Relationship Id="rId00003" Type="http://schemas.openxmlformats.org/officeDocument/2006/relationships/extended-properties" Target="docProps/app.xml"/>
</Relationships>
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[Normal]"/>
        <w:widowControl w:val="on"/>
        <w:jc w:val="center"/>
        <w:rPr>
          <w:rFonts w:ascii="Century Gothic" w:hAnsi="Century Gothic" w:eastAsia="Century Gothic"/>
          <w:b w:val="on"/>
          <w:color w:val="000000"/>
          <w:sz w:val="32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</w:pP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fldChar w:fldCharType="begin"/>
      </w: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instrText xml:space="preserve"> HYPERLINK "bien-8520.html" </w:instrText>
      </w: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fldChar w:fldCharType="separate"/>
      </w: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t xml:space="preserve">Charmant studio au rez-de-chaussée à proximité de Flagey</w:t>
      </w: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000000"/>
          <w:sz w:val="20"/>
        </w:rPr>
        <w:fldChar w:fldCharType="end"/>
      </w: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  <w:r>
        <w:drawing>
          <wp:inline distT="0" distB="0" distL="0" distR="0">
            <wp:extent cx="4023360" cy="3429000"/>
            <wp:docPr id="2" name="_tx_id_2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/>
                  </pic:nvPicPr>
                  <pic:blipFill>
                    <a:blip r:embed="rId00006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Ixelles (réf. 2987) : Dans une petite copropriété de 3 étages, agréable studio lumineux situé au rez-de-chaussée comprenant une pièce de vie, une cuisine, une salle de bain avec baignoire et WC, ainsi qu’une mezzanine. Excellent investissement grâce à sa localisation recherchée, à deux pas de la place Flagey, à proximité des commerces et des transports en commun. Son agencement fonctionnel offre un beau potentiel locatif.</w:t>
      </w: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b w:val="on"/>
          <w:color w:val="000000"/>
          <w:sz w:val="26"/>
        </w:rPr>
      </w:pPr>
      <w:r>
        <w:rPr>
          <w:rFonts w:ascii="Bahnschrift SemiLight" w:hAnsi="Bahnschrift SemiLight" w:eastAsia="Bahnschrift SemiLight"/>
          <w:b w:val="on"/>
          <w:color w:val="000000"/>
          <w:sz w:val="26"/>
        </w:rPr>
        <w:t xml:space="preserve">Infos &amp; Visites Century 21 Boondael 02/660.21.21</w:t>
      </w: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000000"/>
          <w:sz w:val="26"/>
        </w:rPr>
        <w:t xml:space="preserve">OU www.century21boondael.be</w:t>
      </w: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9B895F"/>
          <w:sz w:val="26"/>
          <w:u w:val="double"/>
        </w:rPr>
        <w:t xml:space="preserve">Prix : 175.000 €</w:t>
      </w: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b w:val="on"/>
          <w:color w:val="000000"/>
          <w:sz w:val="26"/>
          <w:u w:val="single"/>
        </w:rPr>
      </w:pPr>
      <w:r>
        <w:rPr>
          <w:rFonts w:ascii="Bahnschrift SemiLight" w:hAnsi="Bahnschrift SemiLight" w:eastAsia="Bahnschrift SemiLight"/>
          <w:b w:val="on"/>
          <w:color w:val="000000"/>
          <w:sz w:val="26"/>
          <w:u w:val="single"/>
        </w:rPr>
        <w:t xml:space="preserve">Rue Van Elewyck, 10 à 1050 Ixelles</w:t>
      </w: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widowControl w:val="on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9B895F"/>
        </w:rPr>
        <w:t xml:space="preserve">Informations générales :</w:t>
      </w:r>
    </w:p>
    <w:p>
      <w:pPr>
        <w:pStyle w:val="[Normal]"/>
        <w:widowControl w:val="on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Affectation du bien : Studio</w:t>
      </w: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Nombre de salle de bains : 1</w:t>
      </w: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Garage / Parking :  / </w:t>
      </w: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Terrasse : /</w:t>
      </w: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Jardin : /</w:t>
      </w: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Type de cuisine : Aménagée</w:t>
      </w: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Type de chauffage : Gaz</w:t>
      </w: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Charges mensuelles : 105 €</w:t>
      </w:r>
    </w:p>
    <w:p>
      <w:pPr>
        <w:pStyle w:val="[Normal]"/>
        <w:widowControl w:val="on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9B8961"/>
        </w:rPr>
        <w:t xml:space="preserve">Surfaces :</w:t>
      </w:r>
    </w:p>
    <w:p>
      <w:pPr>
        <w:pStyle w:val="[Normal]"/>
        <w:widowControl w:val="on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widowControl w:val="on"/>
        <w:numPr>
          <w:ilvl w:val="0"/>
          <w:numId w:val="2"/>
        </w:numPr>
        <w:tabs>
          <w:tab w:val="left" w:pos="360"/>
          <w:tab w:val="clear" w:pos="15876"/>
        </w:tabs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Surface habitable : 35 m²</w:t>
      </w:r>
    </w:p>
    <w:p>
      <w:pPr>
        <w:pStyle w:val="[Normal]"/>
        <w:widowControl w:val="on"/>
        <w:rPr>
          <w:rFonts w:ascii="Bahnschrift SemiLight" w:hAnsi="Bahnschrift SemiLight" w:eastAsia="Bahnschrift SemiLight"/>
          <w:sz w:val="20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  <w:r>
        <w:rPr>
          <w:rFonts w:ascii="Bahnschrift SemiLight" w:hAnsi="Bahnschrift SemiLight" w:eastAsia="Bahnschrift SemiLight"/>
          <w:b w:val="on"/>
          <w:color w:val="9B895F"/>
        </w:rPr>
        <w:t xml:space="preserve">Photos :</w:t>
      </w: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1828800" cy="1371600"/>
            <wp:docPr id="3" name="_tx_id_3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/>
                  </pic:nvPicPr>
                  <pic:blipFill>
                    <a:blip r:embed="rId00007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</w:t>
      </w:r>
      <w:r>
        <w:drawing>
          <wp:inline distT="0" distB="0" distL="0" distR="0">
            <wp:extent cx="1828800" cy="1371600"/>
            <wp:docPr id="4" name="_tx_id_4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/>
                  </pic:nvPicPr>
                  <pic:blipFill>
                    <a:blip r:embed="rId00008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  </w:t>
      </w:r>
      <w:r>
        <w:drawing>
          <wp:inline distT="0" distB="0" distL="0" distR="0">
            <wp:extent cx="1371600" cy="1828800"/>
            <wp:docPr id="5" name="_tx_id_5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/>
                  </pic:nvPicPr>
                  <pic:blipFill>
                    <a:blip r:embed="rId00009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widowControl w:val="on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1371600" cy="1828800"/>
            <wp:docPr id="6" name="_tx_id_6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/>
                  </pic:nvPicPr>
                  <pic:blipFill>
                    <a:blip r:embed="rId00010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</w:t>
      </w:r>
      <w:r>
        <w:drawing>
          <wp:inline distT="0" distB="0" distL="0" distR="0">
            <wp:extent cx="1828800" cy="1371600"/>
            <wp:docPr id="7" name="_tx_id_7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/>
                  </pic:nvPicPr>
                  <pic:blipFill>
                    <a:blip r:embed="rId00011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</w:t>
      </w:r>
      <w:r>
        <w:drawing>
          <wp:inline distT="0" distB="0" distL="0" distR="0">
            <wp:extent cx="1371600" cy="1828800"/>
            <wp:docPr id="8" name="_tx_id_8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/>
                  </pic:nvPicPr>
                  <pic:blipFill>
                    <a:blip r:embed="rId00012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00013"/>
      <w:footerReference w:type="default" r:id="rId00014"/>
      <w:pgSz w:w="11906" w:h="16837"/>
      <w:pgMar w:top="1134" w:right="1134" w:bottom="1134" w:left="1134" w:header="567" w:footer="567"/>
      <w:pgBorders w:display="allPages" w:offsetFrom="page"/>
    </w:sectPr>
  </w:body>
</w:document>
</file>

<file path=word/fontTable.xml><?xml version="1.0" encoding="utf-8"?>
<w:fonts xmlns:w="http://schemas.openxmlformats.org/wordprocessingml/2006/main">
  <w:font w:name="Arial">
    <w:charset w:val="00"/>
    <w:family w:val="swiss"/>
    <w:pitch w:val="variable"/>
  </w:font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Trebuchet MS">
    <w:charset w:val="00"/>
    <w:family w:val="swiss"/>
    <w:pitch w:val="variable"/>
  </w:font>
  <w:font w:name="Bahnschrift SemiBold">
    <w:charset w:val="00"/>
    <w:family w:val="swiss"/>
    <w:pitch w:val="variable"/>
  </w:font>
  <w:font w:name="Bahnschrift SemiLight">
    <w:charset w:val="00"/>
    <w:family w:val="swiss"/>
    <w:pitch w:val="variable"/>
  </w:font>
  <w:font w:name="Century Gothic">
    <w:charset w:val="00"/>
    <w:family w:val="swiss"/>
    <w:pitch w:val="variable"/>
  </w:font>
</w:fonts>
</file>

<file path=word/footer000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tbl>
    <w:tblPr>
      <w:tblW w:w="0" w:type="auto"/>
      <w:jc w:val="left"/>
      <w:tblInd w:w="30" w:type="dxa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  <w:tblCellMar>
        <w:top w:w="0" w:type="dxa"/>
        <w:left w:w="30" w:type="dxa"/>
        <w:bottom w:w="0" w:type="dxa"/>
        <w:right w:w="30" w:type="dxa"/>
      </w:tblCellMar>
    </w:tblPr>
    <w:tblGrid>
      <w:gridCol w:w="9638"/>
    </w:tblGrid>
    <w:tr>
      <w:tc>
        <w:tcPr>
          <w:tcW w:w="9638" w:type="dxa"/>
          <w:shd w:val="clear" w:fill="FFFFFF"/>
          <w:vAlign w:val="top"/>
        </w:tcPr>
        <w:p>
          <w:pPr>
            <w:pStyle w:val="[Normal]"/>
            <w:widowControl w:val="on"/>
            <w:tabs>
              <w:tab w:val="left" w:pos="9637"/>
              <w:tab w:val="clear" w:pos="10206"/>
            </w:tabs>
            <w:jc w:val="center"/>
            <w:rPr>
              <w:rFonts w:ascii="Bahnschrift SemiLight" w:hAnsi="Bahnschrift SemiLight" w:eastAsia="Bahnschrift SemiLight"/>
              <w:sz w:val="20"/>
            </w:rPr>
          </w:pPr>
          <w:r>
            <w:rPr>
              <w:rFonts w:ascii="Bahnschrift SemiLight" w:hAnsi="Bahnschrift SemiLight" w:eastAsia="Bahnschrift SemiLight"/>
              <w:sz w:val="20"/>
            </w:rPr>
            <w:t xml:space="preserve">Century 21 Boondael  Tél : 02 660 21 21 Site web : p/* www.century21.be</w:t>
          </w:r>
        </w:p>
        <w:p>
          <w:pPr>
            <w:pStyle w:val="[Normal]"/>
            <w:widowControl w:val="on"/>
            <w:tabs>
              <w:tab w:val="left" w:pos="9637"/>
              <w:tab w:val="clear" w:pos="10206"/>
            </w:tabs>
            <w:jc w:val="center"/>
            <w:rPr>
              <w:rFonts w:ascii="Bahnschrift SemiLight" w:hAnsi="Bahnschrift SemiLight" w:eastAsia="Bahnschrift SemiLight"/>
              <w:color w:val="FFFFFF"/>
              <w:sz w:val="20"/>
              <w:shd w:val="clear" w:fill="000000"/>
            </w:rPr>
          </w:pPr>
          <w:r>
            <w:rPr>
              <w:rFonts w:ascii="Bahnschrift SemiLight" w:hAnsi="Bahnschrift SemiLight" w:eastAsia="Bahnschrift SemiLight"/>
              <w:sz w:val="20"/>
            </w:rPr>
            <w:t xml:space="preserve">Email : info@century21boondael.be</w:t>
          </w:r>
        </w:p>
      </w:tc>
    </w:tr>
  </w:tbl>
  <w:p>
    <w:pPr>
      <w:pStyle w:val="[Normal]"/>
      <w:widowControl w:val="on"/>
      <w:tabs>
        <w:tab w:val="left" w:pos="9637"/>
        <w:tab w:val="clear" w:pos="10206"/>
      </w:tabs>
      <w:jc w:val="center"/>
      <w:rPr>
        <w:rFonts w:ascii="Bahnschrift SemiLight" w:hAnsi="Bahnschrift SemiLight" w:eastAsia="Bahnschrift SemiLight"/>
        <w:color w:val="000000"/>
        <w:sz w:val="16"/>
      </w:rPr>
    </w:pPr>
    <w:r>
      <w:rPr>
        <w:rFonts w:ascii="Bahnschrift SemiLight" w:hAnsi="Bahnschrift SemiLight" w:eastAsia="Bahnschrift SemiLight"/>
        <w:color w:val="000000"/>
        <w:sz w:val="16"/>
      </w:rPr>
      <w:t xml:space="preserve">Chaque agence est juridiquement et financièrement indépendante.</w:t>
    </w:r>
  </w:p>
  <w:p>
    <w:pPr>
      <w:pStyle w:val="[Normal]"/>
      <w:widowControl w:val="on"/>
      <w:tabs>
        <w:tab w:val="left" w:pos="9637"/>
        <w:tab w:val="clear" w:pos="10206"/>
      </w:tabs>
      <w:jc w:val="center"/>
      <w:rPr>
        <w:rFonts w:ascii="Bahnschrift SemiLight" w:hAnsi="Bahnschrift SemiLight" w:eastAsia="Bahnschrift SemiLight"/>
        <w:color w:val="000000"/>
        <w:sz w:val="16"/>
      </w:rPr>
    </w:pPr>
    <w:r>
      <w:rPr>
        <w:rFonts w:ascii="Bahnschrift SemiLight" w:hAnsi="Bahnschrift SemiLight" w:eastAsia="Bahnschrift SemiLight"/>
        <w:color w:val="000000"/>
        <w:sz w:val="16"/>
      </w:rPr>
      <w:t xml:space="preserve">Ce document est remis à titre informatif et non contractuel.</w:t>
    </w:r>
  </w:p>
</w:ftr>
</file>

<file path=word/header000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tbl>
    <w:tblPr>
      <w:tblW w:w="0" w:type="auto"/>
      <w:jc w:val="left"/>
      <w:tblInd w:w="36" w:type="dxa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  <w:tblCellMar>
        <w:top w:w="0" w:type="dxa"/>
        <w:left w:w="36" w:type="dxa"/>
        <w:bottom w:w="0" w:type="dxa"/>
        <w:right w:w="36" w:type="dxa"/>
      </w:tblCellMar>
    </w:tblPr>
    <w:tblGrid>
      <w:gridCol w:w="4801"/>
      <w:gridCol w:w="4801"/>
    </w:tblGrid>
    <w:tr>
      <w:tc>
        <w:tcPr>
          <w:tcW w:w="4801" w:type="dxa"/>
          <w:shd w:val="clear" w:fill="auto"/>
          <w:vAlign w:val="top"/>
        </w:tcPr>
        <w:p>
          <w:pPr>
            <w:pStyle w:val="[Normal]"/>
            <w:widowControl w:val="on"/>
            <w:tabs>
              <w:tab w:val="left" w:pos="9637"/>
              <w:tab w:val="clear" w:pos="10206"/>
            </w:tabs>
            <w:rPr>
              <w:rFonts w:ascii="Trebuchet MS" w:hAnsi="Trebuchet MS" w:eastAsia="Trebuchet MS"/>
              <w:sz w:val="20"/>
            </w:rPr>
          </w:pPr>
          <w:r>
            <w:drawing>
              <wp:anchor distT="0" distB="0" distL="0" distR="0" simplePos="0" relativeHeight="1000000" behindDoc="0" locked="0" layoutInCell="1" allowOverlap="1" hidden="false">
                <wp:simplePos x="0" y="0"/>
                <wp:positionH relativeFrom="column">
                  <wp:align>left</wp:align>
                </wp:positionH>
                <wp:positionV relativeFrom="paragraph">
                  <wp:posOffset>0</wp:posOffset>
                </wp:positionV>
                <wp:extent cx="1866900" cy="1314450"/>
                <wp:wrapSquare wrapText="bothSides"/>
                <wp:docPr id="1" name="_tx_id_1_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/>
                        <pic:cNvPicPr/>
                      </pic:nvPicPr>
                      <pic:blipFill>
                        <a:blip r:embed="rId0000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6900" cy="1314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01" w:type="dxa"/>
          <w:shd w:val="clear" w:fill="auto"/>
          <w:vAlign w:val="top"/>
        </w:tcPr>
        <w:p>
          <w:pPr>
            <w:pStyle w:val="[Normal]"/>
            <w:widowControl w:val="on"/>
            <w:tabs>
              <w:tab w:val="left" w:pos="9637"/>
              <w:tab w:val="clear" w:pos="10206"/>
            </w:tabs>
            <w:jc w:val="right"/>
            <w:rPr>
              <w:rFonts w:ascii="Trebuchet MS" w:hAnsi="Trebuchet MS" w:eastAsia="Trebuchet MS"/>
              <w:sz w:val="20"/>
            </w:rPr>
          </w:pPr>
          <w:r>
            <w:rPr>
              <w:rFonts w:ascii="Trebuchet MS" w:hAnsi="Trebuchet MS" w:eastAsia="Trebuchet MS"/>
              <w:sz w:val="20"/>
            </w:rPr>
            <w:t xml:space="preserve">  </w:t>
          </w:r>
        </w:p>
      </w:tc>
    </w:tr>
  </w:tbl>
  <w:p>
    <w:pPr>
      <w:pStyle w:val="[Normal]"/>
      <w:widowControl w:val="on"/>
      <w:tabs>
        <w:tab w:val="left" w:pos="9637"/>
        <w:tab w:val="clear" w:pos="10206"/>
      </w:tabs>
      <w:rPr>
        <w:rFonts w:ascii="Bahnschrift SemiBold" w:hAnsi="Bahnschrift SemiBold" w:eastAsia="Bahnschrift SemiBold"/>
        <w:sz w:val="20"/>
      </w:rPr>
    </w:pPr>
    <w:r>
      <w:rPr>
        <w:rFonts w:ascii="Bahnschrift SemiBold" w:hAnsi="Bahnschrift SemiBold" w:eastAsia="Bahnschrift SemiBold"/>
        <w:sz w:val="20"/>
      </w:rPr>
      <w:t xml:space="preserve">Avenue des Saisons, 42 à 1050 Ixelles                                                                                                </w:t>
    </w:r>
  </w:p>
  <w:p>
    <w:pPr>
      <w:pStyle w:val="[Normal]"/>
      <w:widowControl w:val="on"/>
      <w:tabs>
        <w:tab w:val="left" w:pos="9637"/>
        <w:tab w:val="clear" w:pos="10206"/>
      </w:tabs>
      <w:rPr>
        <w:rFonts w:ascii="Bahnschrift SemiBold" w:hAnsi="Bahnschrift SemiBold" w:eastAsia="Bahnschrift SemiBold"/>
        <w:sz w:val="20"/>
      </w:rPr>
    </w:pPr>
    <w:r>
      <w:rPr>
        <w:rFonts w:ascii="Bahnschrift SemiBold" w:hAnsi="Bahnschrift SemiBold" w:eastAsia="Bahnschrift SemiBold"/>
        <w:sz w:val="20"/>
      </w:rPr>
      <w:t xml:space="preserve">02/660.21.21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pStyle w:val="Détail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/>
        <w:b w:val="off"/>
        <w:i w:val="off"/>
        <w:strike w:val="off"/>
        <w:color w:val="auto"/>
        <w:position w:val="0"/>
        <w:sz w:val="20"/>
        <w:u w:val="none"/>
        <w:shd w:val="clear" w:fill="auto"/>
      </w:rPr>
    </w:lvl>
  </w:abstractNum>
  <w:abstractNum w:abstractNumId="1">
    <w:multiLevelType w:val="singleLevel"/>
    <w:lvl w:ilvl="0">
      <w:start w:val="1"/>
      <w:numFmt w:val="bullet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/>
        <w:b w:val="off"/>
        <w:i w:val="off"/>
        <w:strike w:val="off"/>
        <w:color w:val="000000"/>
        <w:position w:val="0"/>
        <w:sz w:val="20"/>
        <w:u w:val="none"/>
        <w:shd w:val="clear" w:fil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bordersDoNotSurroundHeader/>
  <w:bordersDoNotSurroundFooter/>
  <w:defaultTabStop w:val="1134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latentStyles/>
  <w:style w:type="paragraph" w:styleId="[Normal]" w:default="1">
    <w:name w:val="[Normal]"/>
    <w:next w:val="[Normal]"/>
    <w:qFormat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/>
      <w:b w:val="off"/>
      <w:i w:val="off"/>
      <w:strike w:val="off"/>
      <w:color w:val="auto"/>
      <w:sz w:val="24"/>
      <w:shd w:val="clear" w:fill="auto"/>
    </w:rPr>
  </w:style>
  <w:style w:type="paragraph" w:styleId="Titre1">
    <w:name w:val="Titre1"/>
    <w:basedOn w:val="[Normal]"/>
    <w:next w:val="Titre1"/>
    <w:qFormat/>
    <w:pPr>
      <w:widowControl w:val="on"/>
    </w:pPr>
    <w:rPr>
      <w:b w:val="on"/>
      <w:sz w:val="28"/>
    </w:rPr>
  </w:style>
  <w:style w:type="paragraph" w:styleId="Détail">
    <w:name w:val="Détail"/>
    <w:basedOn w:val="[Normal]"/>
    <w:next w:val="Détail"/>
    <w:qFormat/>
    <w:pPr>
      <w:widowControl w:val="on"/>
      <w:numPr>
        <w:ilvl w:val="0"/>
        <w:numId w:val="1"/>
      </w:numPr>
      <w:tabs>
        <w:tab w:val="left" w:pos="360"/>
        <w:tab w:val="clear" w:pos="15876"/>
      </w:tabs>
      <w:ind w:left="360" w:hanging="360"/>
    </w:pPr>
    <w:rPr>
      <w:sz w:val="20"/>
    </w:rPr>
  </w:style>
  <w:style w:type="paragraph" w:styleId="Type de détail">
    <w:name w:val="Type de détail"/>
    <w:basedOn w:val="Détail"/>
    <w:next w:val="Type de détail"/>
    <w:qFormat/>
    <w:pPr>
      <w:numPr>
        <w:ilvl w:val="0"/>
        <w:numId w:val="0"/>
      </w:numPr>
      <w:tabs>
        <w:tab w:val="left" w:pos="15876"/>
        <w:tab w:val="clear" w:pos="360"/>
      </w:tabs>
    </w:pPr>
    <w:rPr>
      <w:b w:val="on"/>
    </w:rPr>
  </w:style>
  <w:style w:type="paragraph" w:styleId="TEST">
    <w:name w:val="TEST"/>
    <w:basedOn w:val="[Normal]"/>
    <w:next w:val="TEST"/>
    <w:qFormat/>
    <w:pPr>
      <w:widowControl w:val="on"/>
    </w:pPr>
    <w:rPr>
      <w:sz w:val="168"/>
    </w:rPr>
  </w:style>
</w:styles>
</file>

<file path=word/_rels/document.xml.rels><?xml version="1.0" encoding="UTF-8" standalone="yes"?>
<Relationships xmlns="http://schemas.openxmlformats.org/package/2006/relationships">
	<Relationship Id="rId00004" Type="http://schemas.openxmlformats.org/officeDocument/2006/relationships/styles" Target="styles.xml"/>
	<Relationship Id="rId00013" Type="http://schemas.openxmlformats.org/officeDocument/2006/relationships/header" Target="header0001.xml"/>
	<Relationship Id="rId00014" Type="http://schemas.openxmlformats.org/officeDocument/2006/relationships/footer" Target="footer0001.xml"/>
	<Relationship Id="rId00006" Type="http://schemas.openxmlformats.org/officeDocument/2006/relationships/image" Target="media/image0002.jpg"/>
	<Relationship Id="rId00007" Type="http://schemas.openxmlformats.org/officeDocument/2006/relationships/image" Target="media/image0003.jpg"/>
	<Relationship Id="rId00008" Type="http://schemas.openxmlformats.org/officeDocument/2006/relationships/image" Target="media/image0004.jpg"/>
	<Relationship Id="rId00009" Type="http://schemas.openxmlformats.org/officeDocument/2006/relationships/image" Target="media/image0005.jpg"/>
	<Relationship Id="rId00010" Type="http://schemas.openxmlformats.org/officeDocument/2006/relationships/image" Target="media/image0006.jpg"/>
	<Relationship Id="rId00011" Type="http://schemas.openxmlformats.org/officeDocument/2006/relationships/image" Target="media/image0007.jpg"/>
	<Relationship Id="rId00012" Type="http://schemas.openxmlformats.org/officeDocument/2006/relationships/image" Target="media/image0008.jpg"/>
	<Relationship Id="rId00015" Type="http://schemas.openxmlformats.org/officeDocument/2006/relationships/numbering" Target="numbering.xml"/>
	<Relationship Id="rId00016" Type="http://schemas.openxmlformats.org/officeDocument/2006/relationships/fontTable" Target="fontTable.xml"/>
	<Relationship Id="rId00017" Type="http://schemas.openxmlformats.org/officeDocument/2006/relationships/settings" Target="settings.xml"/>
</Relationships>

</file>

<file path=word/_rels/header0001.xml.rels><?xml version="1.0" encoding="UTF-8" standalone="yes"?>
<Relationships xmlns="http://schemas.openxmlformats.org/package/2006/relationships">
	<Relationship Id="rId00005" Type="http://schemas.openxmlformats.org/officeDocument/2006/relationships/image" Target="media/image0001.jpg"/>
</Relationships>

</file>

<file path=docProps/app.xml><?xml version="1.0" encoding="utf-8"?>
<Properties xmlns="http://schemas.openxmlformats.org/officeDocument/2006/extended-properties" xmlns:vt="http://schemas.openxmlformats.org/officeDocument/2006/docPropsVTypes">
  <Application>TX_DOX 17.0.140.502</Application>
  <HyperlinkBase>C:\Users\Chaïma HADI\CENTURY 21 Boondael\Century 21 Boondael - Documents\Activimmo\</HyperlinkBas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</cp:coreProperties>
</file>