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Normal]"/>
        <w:jc w:val="center"/>
        <w:rPr>
          <w:rFonts w:ascii="Century Gothic" w:hAnsi="Century Gothic" w:eastAsia="Century Gothic"/>
          <w:b w:val="on"/>
          <w:color w:val="000000"/>
          <w:sz w:val="32"/>
        </w:rPr>
      </w:pPr>
    </w:p>
    <w:p>
      <w:pPr>
        <w:pStyle w:val="[Normal]"/>
        <w:jc w:val="center"/>
        <w:rPr>
          <w:rFonts w:ascii="Bahnschrift SemiLight" w:hAnsi="Bahnschrift SemiLight" w:eastAsia="Bahnschrift SemiLight"/>
          <w:b w:val="on"/>
          <w:color w:val="9B895F"/>
          <w:sz w:val="32"/>
          <w:u w:val="single"/>
        </w:rPr>
      </w:pPr>
      <w:r>
        <w:rPr>
          <w:rFonts w:ascii="Bahnschrift SemiLight" w:hAnsi="Bahnschrift SemiLight" w:eastAsia="Bahnschrift SemiLight"/>
          <w:b w:val="on"/>
          <w:color w:val="9B895F"/>
          <w:sz w:val="32"/>
          <w:u w:val="single"/>
        </w:rPr>
        <w:fldChar w:fldCharType="begin"/>
      </w:r>
      <w:r>
        <w:rPr>
          <w:rFonts w:ascii="Bahnschrift SemiLight" w:hAnsi="Bahnschrift SemiLight" w:eastAsia="Bahnschrift SemiLight"/>
          <w:b w:val="on"/>
          <w:color w:val="9B895F"/>
          <w:sz w:val="32"/>
          <w:u w:val="single"/>
        </w:rPr>
        <w:instrText xml:space="preserve"> HYPERLINK "http:///bien-8519.html" </w:instrText>
      </w:r>
      <w:r>
        <w:rPr>
          <w:rFonts w:ascii="Bahnschrift SemiLight" w:hAnsi="Bahnschrift SemiLight" w:eastAsia="Bahnschrift SemiLight"/>
          <w:b w:val="on"/>
          <w:color w:val="9B895F"/>
          <w:sz w:val="32"/>
          <w:u w:val="single"/>
        </w:rPr>
        <w:fldChar w:fldCharType="separate"/>
      </w:r>
      <w:r>
        <w:rPr>
          <w:rFonts w:ascii="Bahnschrift SemiLight" w:hAnsi="Bahnschrift SemiLight" w:eastAsia="Bahnschrift SemiLight"/>
          <w:b w:val="on"/>
          <w:color w:val="9B895F"/>
          <w:sz w:val="32"/>
          <w:u w:val="single"/>
        </w:rPr>
        <w:t xml:space="preserve">À deux pas du cimetière d'Ixelles – Appartement meublé avec terrasse</w:t>
      </w:r>
    </w:p>
    <w:p>
      <w:pPr>
        <w:pStyle w:val="[Normal]"/>
        <w:jc w:val="center"/>
        <w:rPr>
          <w:rFonts w:ascii="Bahnschrift SemiLight" w:hAnsi="Bahnschrift SemiLight" w:eastAsia="Bahnschrift SemiLight"/>
          <w:b w:val="on"/>
          <w:color w:val="000000"/>
          <w:sz w:val="20"/>
        </w:rPr>
      </w:pPr>
      <w:r>
        <w:rPr>
          <w:rFonts w:ascii="Bahnschrift SemiLight" w:hAnsi="Bahnschrift SemiLight" w:eastAsia="Bahnschrift SemiLight"/>
          <w:b w:val="on"/>
          <w:color w:val="000000"/>
          <w:sz w:val="20"/>
        </w:rPr>
        <w:fldChar w:fldCharType="end"/>
      </w:r>
    </w:p>
    <w:p>
      <w:pPr>
        <w:pStyle w:val="[Normal]"/>
        <w:jc w:val="center"/>
        <w:rPr>
          <w:rFonts w:ascii="Bahnschrift SemiLight" w:hAnsi="Bahnschrift SemiLight" w:eastAsia="Bahnschrift SemiLight"/>
          <w:b w:val="on"/>
          <w:color w:val="000000"/>
          <w:sz w:val="20"/>
        </w:rPr>
      </w:pPr>
      <w:r>
        <w:drawing>
          <wp:inline distT="0" distB="0" distL="0" distR="0">
            <wp:extent cx="3718560" cy="274320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3718560" cy="2743200"/>
                    </a:xfrm>
                    <a:prstGeom prst="rect">
                      <a:avLst/>
                    </a:prstGeom>
                  </pic:spPr>
                </pic:pic>
              </a:graphicData>
            </a:graphic>
          </wp:inline>
        </w:drawing>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Ixelles (réf. 2986 B) : Situé à proximité du cimetière d'Ixelles, découvrez ce bel appartement meublé situé au 1er étage d'un immeuble avec ascenseur.</w:t>
      </w: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L'appartement se compose d'un grand séjour lumineux, aménagé avec un canapé, une télévision et une table à manger pour deux personnes. La cuisine ouverte, entièrement équipée, comprend un frigo, un four, un micro-ondes, un lave-vaisselle, une taque électrique, une hotte ainsi que toute la vaisselle et les ustensiles de cuisine. Vous profiterez également d'une grande terrasse orientée plein sud. Le bien dispose d'un WC séparé, d'une salle de bain avec douche à l'italienne et machine à laver, ainsi que d'une grande chambre équipée d'un lit double et d'un placard encastré offrant de nombreux rangements. À proximité des commerces, des transports en commun, des restaurants et des universités, cet appartement est idéal pour une personne seule ou un couple. </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b w:val="on"/>
          <w:color w:val="000000"/>
          <w:sz w:val="26"/>
        </w:rPr>
      </w:pPr>
      <w:r>
        <w:rPr>
          <w:rFonts w:ascii="Bahnschrift SemiLight" w:hAnsi="Bahnschrift SemiLight" w:eastAsia="Bahnschrift SemiLight"/>
          <w:b w:val="on"/>
          <w:color w:val="000000"/>
          <w:sz w:val="26"/>
        </w:rPr>
        <w:t xml:space="preserve">Infos &amp; Visites Century 21 Boondael 02/660.21.21</w:t>
      </w: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rPr>
        <w:t xml:space="preserve">OU www.century21boondael.be</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9B895F"/>
          <w:sz w:val="26"/>
          <w:u w:val="double"/>
        </w:rPr>
        <w:t xml:space="preserve">Loyer : 1.295 € + 200 € de charges</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u w:val="single"/>
        </w:rPr>
        <w:t xml:space="preserve">Rue César Franck, 35 à 1050 Ixelles</w:t>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Informations générales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chambre : 1</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salle de bains : 1</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Garage / Parking :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Terrasse : Oui</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Exposition : Sud</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cuisine : Aménagée</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chauffage : Gaz</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Surfaces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habitable : 57 m²</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terrasse : 7 m²</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b w:val="on"/>
          <w:color w:val="FFC000"/>
          <w:sz w:val="20"/>
        </w:rPr>
      </w:pPr>
      <w:r>
        <w:rPr>
          <w:rFonts w:ascii="Bahnschrift SemiLight" w:hAnsi="Bahnschrift SemiLight" w:eastAsia="Bahnschrift SemiLight"/>
          <w:b w:val="on"/>
          <w:color w:val="9B895F"/>
        </w:rPr>
        <w:t xml:space="preserve">Détails : </w:t>
      </w:r>
    </w:p>
    <w:p>
      <w:pPr>
        <w:pStyle w:val="[Normal]"/>
        <w:rPr>
          <w:rFonts w:ascii="Bahnschrift SemiLight" w:hAnsi="Bahnschrift SemiLight" w:eastAsia="Bahnschrift SemiLight"/>
          <w:b w:val="on"/>
          <w:color w:val="FFC000"/>
          <w:sz w:val="20"/>
        </w:rPr>
      </w:pPr>
    </w:p>
    <w:p>
      <w:pPr>
        <w:pStyle w:val="Type de détail"/>
      </w:pPr>
      <w:r>
        <w:t xml:space="preserve">1ère étage:</w:t>
      </w:r>
    </w:p>
    <w:p>
      <w:pPr>
        <w:pStyle w:val="Détail"/>
        <w:numPr>
          <w:ilvl w:val="0"/>
          <w:numId w:val="3"/>
        </w:numPr>
      </w:pPr>
      <w:r>
        <w:t xml:space="preserve">Chambre 3,46 x 4,76 = 16,49 m²</w:t>
      </w:r>
    </w:p>
    <w:p>
      <w:pPr>
        <w:pStyle w:val="Détail"/>
        <w:numPr>
          <w:ilvl w:val="0"/>
          <w:numId w:val="3"/>
        </w:numPr>
      </w:pPr>
      <w:r>
        <w:t xml:space="preserve">Dressing 2 x 0,60 = 1,23 m²</w:t>
      </w:r>
    </w:p>
    <w:p>
      <w:pPr>
        <w:pStyle w:val="Détail"/>
        <w:numPr>
          <w:ilvl w:val="0"/>
          <w:numId w:val="3"/>
        </w:numPr>
      </w:pPr>
      <w:r>
        <w:t xml:space="preserve">Salle de bains 2,46 x 1,77 = 4,35 m²</w:t>
      </w:r>
    </w:p>
    <w:p>
      <w:pPr>
        <w:pStyle w:val="Détail"/>
        <w:numPr>
          <w:ilvl w:val="0"/>
          <w:numId w:val="3"/>
        </w:numPr>
      </w:pPr>
      <w:r>
        <w:t xml:space="preserve">Séjour 3,49 x 6,36 = 22,27 m²</w:t>
      </w:r>
    </w:p>
    <w:p>
      <w:pPr>
        <w:pStyle w:val="Détail"/>
        <w:numPr>
          <w:ilvl w:val="0"/>
          <w:numId w:val="3"/>
        </w:numPr>
      </w:pPr>
      <w:r>
        <w:t xml:space="preserve">WC 0,78 x 1,68 = 1,31 m²</w:t>
      </w:r>
    </w:p>
    <w:p>
      <w:pPr>
        <w:pStyle w:val="Type de détail"/>
      </w:pPr>
      <w:r>
        <w:t xml:space="preserve">Pièces diverses:</w:t>
      </w:r>
    </w:p>
    <w:p>
      <w:pPr>
        <w:pStyle w:val="Détail"/>
        <w:numPr>
          <w:ilvl w:val="0"/>
          <w:numId w:val="3"/>
        </w:numPr>
      </w:pPr>
      <w:r>
        <w:t xml:space="preserve">Terrasse 3,76 x 2,08 = 7,78 m²</w:t>
      </w:r>
    </w:p>
    <w:p>
      <w:pPr>
        <w:pStyle w:val="Type de détail"/>
      </w:pPr>
      <w:r>
        <w:t xml:space="preserve">Equipements de Cuisine:</w:t>
      </w:r>
    </w:p>
    <w:p>
      <w:pPr>
        <w:pStyle w:val="Détail"/>
        <w:numPr>
          <w:ilvl w:val="0"/>
          <w:numId w:val="3"/>
        </w:numPr>
      </w:pPr>
      <w:r>
        <w:t xml:space="preserve">Congélateur</w:t>
      </w:r>
    </w:p>
    <w:p>
      <w:pPr>
        <w:pStyle w:val="Détail"/>
        <w:numPr>
          <w:ilvl w:val="0"/>
          <w:numId w:val="3"/>
        </w:numPr>
      </w:pPr>
      <w:r>
        <w:t xml:space="preserve">Cuisinière électrique</w:t>
      </w:r>
    </w:p>
    <w:p>
      <w:pPr>
        <w:pStyle w:val="Type de détail"/>
      </w:pPr>
      <w:r>
        <w:t xml:space="preserve">Equipements de Cuisine (suite):</w:t>
      </w:r>
    </w:p>
    <w:p>
      <w:pPr>
        <w:pStyle w:val="Détail"/>
        <w:numPr>
          <w:ilvl w:val="0"/>
          <w:numId w:val="3"/>
        </w:numPr>
      </w:pPr>
      <w:r>
        <w:t xml:space="preserve">Four</w:t>
      </w:r>
    </w:p>
    <w:p>
      <w:pPr>
        <w:pStyle w:val="Détail"/>
        <w:numPr>
          <w:ilvl w:val="0"/>
          <w:numId w:val="3"/>
        </w:numPr>
      </w:pPr>
      <w:r>
        <w:t xml:space="preserve">Four à micro-ondes</w:t>
      </w:r>
    </w:p>
    <w:p>
      <w:pPr>
        <w:pStyle w:val="Détail"/>
        <w:numPr>
          <w:ilvl w:val="0"/>
          <w:numId w:val="3"/>
        </w:numPr>
      </w:pPr>
      <w:r>
        <w:t xml:space="preserve">Frigo</w:t>
      </w:r>
    </w:p>
    <w:p>
      <w:pPr>
        <w:pStyle w:val="Détail"/>
        <w:numPr>
          <w:ilvl w:val="0"/>
          <w:numId w:val="3"/>
        </w:numPr>
      </w:pPr>
      <w:r>
        <w:t xml:space="preserve">Hotte aspirante</w:t>
      </w:r>
    </w:p>
    <w:p>
      <w:pPr>
        <w:pStyle w:val="Détail"/>
        <w:numPr>
          <w:ilvl w:val="0"/>
          <w:numId w:val="3"/>
        </w:numPr>
      </w:pPr>
      <w:r>
        <w:t xml:space="preserve">Lave vaisselle</w:t>
      </w:r>
    </w:p>
    <w:p>
      <w:pPr>
        <w:pStyle w:val="Détail"/>
        <w:numPr>
          <w:ilvl w:val="0"/>
          <w:numId w:val="3"/>
        </w:numPr>
      </w:pPr>
      <w:r>
        <w:t xml:space="preserve">Meubles de cuisine</w:t>
      </w:r>
    </w:p>
    <w:p>
      <w:pPr>
        <w:pStyle w:val="Détail"/>
        <w:numPr>
          <w:ilvl w:val="0"/>
          <w:numId w:val="3"/>
        </w:numPr>
      </w:pPr>
      <w:r>
        <w:t xml:space="preserve">Evier</w:t>
      </w:r>
    </w:p>
    <w:p>
      <w:pPr>
        <w:pStyle w:val="Type de détail"/>
      </w:pPr>
      <w:r>
        <w:t xml:space="preserve">Equipements divers:</w:t>
      </w:r>
    </w:p>
    <w:p>
      <w:pPr>
        <w:pStyle w:val="Détail"/>
        <w:numPr>
          <w:ilvl w:val="0"/>
          <w:numId w:val="3"/>
        </w:numPr>
      </w:pPr>
      <w:r>
        <w:t xml:space="preserve">Ascenseur</w:t>
      </w:r>
    </w:p>
    <w:p>
      <w:pPr>
        <w:pStyle w:val="Détail"/>
        <w:numPr>
          <w:ilvl w:val="0"/>
          <w:numId w:val="3"/>
        </w:numPr>
      </w:pPr>
      <w:r>
        <w:t xml:space="preserve">Double vitrage</w:t>
      </w:r>
    </w:p>
    <w:p>
      <w:pPr>
        <w:pStyle w:val="Détail"/>
        <w:numPr>
          <w:ilvl w:val="0"/>
          <w:numId w:val="3"/>
        </w:numPr>
      </w:pPr>
      <w:r>
        <w:t xml:space="preserve">Placards</w:t>
      </w:r>
    </w:p>
    <w:p>
      <w:pPr>
        <w:pStyle w:val="Type de détail"/>
      </w:pPr>
      <w:r>
        <w:t xml:space="preserve">Fenêtres:</w:t>
      </w:r>
    </w:p>
    <w:p>
      <w:pPr>
        <w:pStyle w:val="Détail"/>
        <w:numPr>
          <w:ilvl w:val="0"/>
          <w:numId w:val="3"/>
        </w:numPr>
      </w:pPr>
      <w:r>
        <w:t xml:space="preserve">Aluminium</w:t>
      </w: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Photos :</w:t>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828800" cy="137160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1828800" cy="13716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828800" cy="137160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371600" cy="182880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1371600" cy="18288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371600" cy="182880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1371600" cy="1828800"/>
                    </a:xfrm>
                    <a:prstGeom prst="rect">
                      <a:avLst/>
                    </a:prstGeom>
                  </pic:spPr>
                </pic:pic>
              </a:graphicData>
            </a:graphic>
          </wp:inline>
        </w:drawing>
      </w:r>
    </w:p>
    <w:sectPr>
      <w:headerReference w:type="default" r:id="rId00014"/>
      <w:footerReference w:type="default" r:id="rId00015"/>
      <w:pgSz w:w="11906" w:h="16837"/>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0" w:type="dxa"/>
      <w:tblBorders>
        <w:top w:val="none"/>
        <w:left w:val="none"/>
        <w:bottom w:val="none"/>
        <w:right w:val="none"/>
        <w:insideH w:val="none"/>
        <w:insideV w:val="none"/>
      </w:tblBorders>
      <w:tblLayout w:type="fixed"/>
      <w:tblCellMar>
        <w:top w:w="0" w:type="dxa"/>
        <w:left w:w="30" w:type="dxa"/>
        <w:bottom w:w="0" w:type="dxa"/>
        <w:right w:w="30" w:type="dxa"/>
      </w:tblCellMar>
    </w:tblPr>
    <w:tblGrid>
      <w:gridCol w:w="9638"/>
    </w:tblGrid>
    <w:tr>
      <w:tc>
        <w:tcPr>
          <w:tcW w:w="9638" w:type="dxa"/>
          <w:shd w:val="clear" w:fill="FFFFFF"/>
          <w:vAlign w:val="top"/>
        </w:tcPr>
        <w:p>
          <w:pPr>
            <w:pStyle w:val="[Normal]"/>
            <w:jc w:val="center"/>
            <w:rPr>
              <w:rFonts w:ascii="Bahnschrift SemiLight" w:hAnsi="Bahnschrift SemiLight" w:eastAsia="Bahnschrift SemiLight"/>
              <w:sz w:val="20"/>
            </w:rPr>
          </w:pPr>
          <w:r>
            <w:rPr>
              <w:rFonts w:ascii="Bahnschrift SemiLight" w:hAnsi="Bahnschrift SemiLight" w:eastAsia="Bahnschrift SemiLight"/>
              <w:sz w:val="20"/>
            </w:rPr>
            <w:t xml:space="preserve">Century 21 Boondael  Tél : 02 660 21 21 Site web : p/* www.century21.be</w:t>
          </w:r>
        </w:p>
        <w:p>
          <w:pPr>
            <w:pStyle w:val="[Normal]"/>
            <w:jc w:val="center"/>
            <w:rPr>
              <w:rFonts w:ascii="Bahnschrift SemiLight" w:hAnsi="Bahnschrift SemiLight" w:eastAsia="Bahnschrift SemiLight"/>
              <w:sz w:val="20"/>
              <w:shd w:val="clear" w:fill="000000"/>
            </w:rPr>
          </w:pPr>
          <w:r>
            <w:rPr>
              <w:rFonts w:ascii="Bahnschrift SemiLight" w:hAnsi="Bahnschrift SemiLight" w:eastAsia="Bahnschrift SemiLight"/>
              <w:sz w:val="20"/>
            </w:rPr>
            <w:t xml:space="preserve">Email : </w:t>
          </w:r>
          <w:r>
            <w:rPr>
              <w:rFonts w:ascii="Bahnschrift SemiLight" w:hAnsi="Bahnschrift SemiLight" w:eastAsia="Bahnschrift SemiLight"/>
              <w:sz w:val="20"/>
            </w:rPr>
            <w:t xml:space="preserve">info@century21boondael.be</w:t>
          </w:r>
        </w:p>
      </w:tc>
    </w:tr>
  </w:tbl>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Chaque agence est juridiquement et financièrement indépendante.</w:t>
    </w:r>
  </w:p>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Ce document est remis à titre informatif et non contractuel.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4801"/>
      <w:gridCol w:w="4801"/>
    </w:tblGrid>
    <w:tr>
      <w:tc>
        <w:tcPr>
          <w:tcW w:w="4801" w:type="dxa"/>
          <w:shd w:val="clear" w:fill="auto"/>
          <w:vAlign w:val="top"/>
        </w:tcPr>
        <w:p>
          <w:pPr>
            <w:pStyle w:val="[Normal]"/>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1866900" cy="131445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866900" cy="1314450"/>
                        </a:xfrm>
                        <a:prstGeom prst="rect">
                          <a:avLst/>
                        </a:prstGeom>
                      </pic:spPr>
                    </pic:pic>
                  </a:graphicData>
                </a:graphic>
              </wp:anchor>
            </w:drawing>
          </w:r>
        </w:p>
      </w:tc>
      <w:tc>
        <w:tcPr>
          <w:tcW w:w="4801" w:type="dxa"/>
          <w:shd w:val="clear" w:fill="auto"/>
          <w:vAlign w:val="top"/>
        </w:tcPr>
        <w:p>
          <w:pPr>
            <w:pStyle w:val="[Normal]"/>
            <w:jc w:val="right"/>
            <w:rPr>
              <w:rFonts w:ascii="Trebuchet MS" w:hAnsi="Trebuchet MS" w:eastAsia="Trebuchet MS"/>
              <w:sz w:val="20"/>
            </w:rPr>
          </w:pPr>
        </w:p>
      </w:tc>
    </w:tr>
  </w:tbl>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                                                                                                 </w:t>
    </w:r>
  </w:p>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02/660.21.21                                                                                                                                                                 </w:t>
    </w: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000000"/>
        <w:position w:val="0"/>
        <w:sz w:val="20"/>
        <w:u w:val="none"/>
        <w:shd w:val="clear"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Titre1">
    <w:name w:val="Titre1"/>
    <w:basedOn w:val="[Normal]"/>
    <w:next w:val="Titre1"/>
    <w:qFormat/>
    <w:pPr/>
    <w:rPr>
      <w:b w:val="on"/>
      <w:sz w:val="28"/>
    </w:rPr>
  </w:style>
  <w:style w:type="paragraph" w:styleId="Détail">
    <w:name w:val="Détail"/>
    <w:basedOn w:val="[Normal]"/>
    <w:next w:val="Détail"/>
    <w:qFormat/>
    <w:pPr>
      <w:numPr>
        <w:ilvl w:val="0"/>
        <w:numId w:val="1"/>
      </w:numPr>
      <w:ind w:left="360" w:hanging="360"/>
    </w:pPr>
    <w:rPr>
      <w:sz w:val="20"/>
    </w:rPr>
  </w:style>
  <w:style w:type="paragraph" w:styleId="Type de détail">
    <w:name w:val="Type de détail"/>
    <w:basedOn w:val="Détail"/>
    <w:next w:val="Type de détail"/>
    <w:qFormat/>
    <w:pPr>
      <w:numPr>
        <w:ilvl w:val="0"/>
        <w:numId w:val="0"/>
      </w:numPr>
    </w:pPr>
    <w:rPr>
      <w:b w:val="on"/>
    </w:rPr>
  </w:style>
  <w:style w:type="paragraph" w:styleId="TEST">
    <w:name w:val="TEST"/>
    <w:basedOn w:val="[Normal]"/>
    <w:next w:val="TEST"/>
    <w:qFormat/>
    <w:pPr/>
    <w:rPr>
      <w:sz w:val="168"/>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14" Type="http://schemas.openxmlformats.org/officeDocument/2006/relationships/header" Target="header0001.xml"/>
	<Relationship Id="rId00015" Type="http://schemas.openxmlformats.org/officeDocument/2006/relationships/footer" Target="footer0001.xml"/>
	<Relationship Id="rId00006" Type="http://schemas.openxmlformats.org/officeDocument/2006/relationships/image" Target="media/image0002.jpg"/>
	<Relationship Id="rId00007" Type="http://schemas.openxmlformats.org/officeDocument/2006/relationships/image" Target="media/image0003.jpg"/>
	<Relationship Id="rId00008" Type="http://schemas.openxmlformats.org/officeDocument/2006/relationships/image" Target="media/image0004.jpg"/>
	<Relationship Id="rId00009" Type="http://schemas.openxmlformats.org/officeDocument/2006/relationships/image" Target="media/image0005.jpg"/>
	<Relationship Id="rId00010" Type="http://schemas.openxmlformats.org/officeDocument/2006/relationships/image" Target="media/image0006.jpg"/>
	<Relationship Id="rId00011" Type="http://schemas.openxmlformats.org/officeDocument/2006/relationships/image" Target="media/image0007.jpg"/>
	<Relationship Id="rId00012" Type="http://schemas.openxmlformats.org/officeDocument/2006/relationships/image" Target="media/image0008.jpg"/>
	<Relationship Id="rId00013" Type="http://schemas.openxmlformats.org/officeDocument/2006/relationships/image" Target="media/image0009.jpg"/>
	<Relationship Id="rId00016" Type="http://schemas.openxmlformats.org/officeDocument/2006/relationships/numbering" Target="numbering.xml"/>
	<Relationship Id="rId00017" Type="http://schemas.openxmlformats.org/officeDocument/2006/relationships/fontTable" Target="fontTable.xml"/>
	<Relationship Id="rId00018"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